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aph-earnings-predictions--2026-07-29"/>
    <w:p>
      <w:pPr>
        <w:pStyle w:val="Heading1"/>
      </w:pPr>
      <w:r>
        <w:t xml:space="preserve">APH Earnings Predictions — 2026-07-29</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APH</w:t>
            </w:r>
          </w:p>
        </w:tc>
        <w:tc>
          <w:tcPr/>
          <w:p>
            <w:pPr>
              <w:pStyle w:val="Compact"/>
            </w:pPr>
            <w:r>
              <w:t xml:space="preserve">Report</w:t>
            </w:r>
          </w:p>
        </w:tc>
        <w:tc>
          <w:tcPr/>
          <w:p>
            <w:pPr>
              <w:pStyle w:val="Compact"/>
            </w:pPr>
            <w:r>
              <w:t xml:space="preserve">Q2 2026 Net Sales</w:t>
            </w:r>
          </w:p>
        </w:tc>
        <w:tc>
          <w:tcPr/>
          <w:p>
            <w:pPr>
              <w:pStyle w:val="Compact"/>
            </w:pPr>
            <w:r>
              <w:t xml:space="preserve">BEAT</w:t>
            </w:r>
          </w:p>
        </w:tc>
        <w:tc>
          <w:tcPr/>
          <w:p>
            <w:pPr>
              <w:pStyle w:val="Compact"/>
            </w:pPr>
            <w:r>
              <w:t xml:space="preserve">pred ~$8.35B vs. cons $8.263B</w:t>
            </w:r>
          </w:p>
        </w:tc>
        <w:tc>
          <w:tcPr/>
          <w:p>
            <w:pPr>
              <w:pStyle w:val="Compact"/>
            </w:pPr>
            <w:r>
              <w:t xml:space="preserve">MEDIUM</w:t>
            </w:r>
          </w:p>
        </w:tc>
      </w:tr>
      <w:tr>
        <w:tc>
          <w:tcPr/>
          <w:p>
            <w:pPr>
              <w:pStyle w:val="Compact"/>
            </w:pPr>
            <w:r>
              <w:t xml:space="preserve">APH</w:t>
            </w:r>
          </w:p>
        </w:tc>
        <w:tc>
          <w:tcPr/>
          <w:p>
            <w:pPr>
              <w:pStyle w:val="Compact"/>
            </w:pPr>
            <w:r>
              <w:t xml:space="preserve">Report</w:t>
            </w:r>
          </w:p>
        </w:tc>
        <w:tc>
          <w:tcPr/>
          <w:p>
            <w:pPr>
              <w:pStyle w:val="Compact"/>
            </w:pPr>
            <w:r>
              <w:t xml:space="preserve">Q2 2026 Adjusted Diluted EPS</w:t>
            </w:r>
          </w:p>
        </w:tc>
        <w:tc>
          <w:tcPr/>
          <w:p>
            <w:pPr>
              <w:pStyle w:val="Compact"/>
            </w:pPr>
            <w:r>
              <w:t xml:space="preserve">BEAT</w:t>
            </w:r>
          </w:p>
        </w:tc>
        <w:tc>
          <w:tcPr/>
          <w:p>
            <w:pPr>
              <w:pStyle w:val="Compact"/>
            </w:pPr>
            <w:r>
              <w:t xml:space="preserve">pred ~$1.22 vs. cons $1.185</w:t>
            </w:r>
          </w:p>
        </w:tc>
        <w:tc>
          <w:tcPr/>
          <w:p>
            <w:pPr>
              <w:pStyle w:val="Compact"/>
            </w:pPr>
            <w:r>
              <w:t xml:space="preserve">MEDIUM</w:t>
            </w:r>
          </w:p>
        </w:tc>
      </w:tr>
      <w:tr>
        <w:tc>
          <w:tcPr/>
          <w:p>
            <w:pPr>
              <w:pStyle w:val="Compact"/>
            </w:pPr>
            <w:r>
              <w:t xml:space="preserve">APH</w:t>
            </w:r>
          </w:p>
        </w:tc>
        <w:tc>
          <w:tcPr/>
          <w:p>
            <w:pPr>
              <w:pStyle w:val="Compact"/>
            </w:pPr>
            <w:r>
              <w:t xml:space="preserve">Report</w:t>
            </w:r>
          </w:p>
        </w:tc>
        <w:tc>
          <w:tcPr/>
          <w:p>
            <w:pPr>
              <w:pStyle w:val="Compact"/>
            </w:pPr>
            <w:r>
              <w:t xml:space="preserve">Q2 2026 Adjusted Operating Margin</w:t>
            </w:r>
          </w:p>
        </w:tc>
        <w:tc>
          <w:tcPr/>
          <w:p>
            <w:pPr>
              <w:pStyle w:val="Compact"/>
            </w:pPr>
            <w:r>
              <w:t xml:space="preserve">BEAT</w:t>
            </w:r>
          </w:p>
        </w:tc>
        <w:tc>
          <w:tcPr/>
          <w:p>
            <w:pPr>
              <w:pStyle w:val="Compact"/>
            </w:pPr>
            <w:r>
              <w:t xml:space="preserve">pred ~27.6% vs. cons ~27.3%</w:t>
            </w:r>
          </w:p>
        </w:tc>
        <w:tc>
          <w:tcPr/>
          <w:p>
            <w:pPr>
              <w:pStyle w:val="Compact"/>
            </w:pPr>
            <w:r>
              <w:t xml:space="preserve">LOW</w:t>
            </w:r>
          </w:p>
        </w:tc>
      </w:tr>
      <w:tr>
        <w:tc>
          <w:tcPr/>
          <w:p>
            <w:pPr>
              <w:pStyle w:val="Compact"/>
            </w:pPr>
            <w:r>
              <w:t xml:space="preserve">APH</w:t>
            </w:r>
          </w:p>
        </w:tc>
        <w:tc>
          <w:tcPr/>
          <w:p>
            <w:pPr>
              <w:pStyle w:val="Compact"/>
            </w:pPr>
            <w:r>
              <w:t xml:space="preserve">Guide</w:t>
            </w:r>
          </w:p>
        </w:tc>
        <w:tc>
          <w:tcPr/>
          <w:p>
            <w:pPr>
              <w:pStyle w:val="Compact"/>
            </w:pPr>
            <w:r>
              <w:t xml:space="preserve">Q3 2026 Revenue Guidance</w:t>
            </w:r>
          </w:p>
        </w:tc>
        <w:tc>
          <w:tcPr/>
          <w:p>
            <w:pPr>
              <w:pStyle w:val="Compact"/>
            </w:pPr>
            <w:r>
              <w:t xml:space="preserve">LOWER</w:t>
            </w:r>
          </w:p>
        </w:tc>
        <w:tc>
          <w:tcPr/>
          <w:p>
            <w:pPr>
              <w:pStyle w:val="Compact"/>
            </w:pPr>
            <w:r>
              <w:t xml:space="preserve">guide ~</w:t>
            </w:r>
            <m:oMath>
              <m:r>
                <m:t>8.45</m:t>
              </m:r>
              <m:r>
                <m:rPr>
                  <m:sty m:val="p"/>
                </m:rPr>
                <m:t>−</m:t>
              </m:r>
              <m:r>
                <m:t>8.55</m:t>
              </m:r>
              <m:r>
                <m:t>B</m:t>
              </m:r>
              <m:r>
                <m:t>v</m:t>
              </m:r>
              <m:r>
                <m:t>s</m:t>
              </m:r>
              <m:r>
                <m:rPr>
                  <m:sty m:val="p"/>
                </m:rPr>
                <m:t>.</m:t>
              </m:r>
              <m:r>
                <m:t>c</m:t>
              </m:r>
              <m:r>
                <m:t>o</m:t>
              </m:r>
              <m:r>
                <m:t>n</m:t>
              </m:r>
              <m:r>
                <m:t>s</m:t>
              </m:r>
              <m:r>
                <m:t> </m:t>
              </m:r>
            </m:oMath>
            <w:r>
              <w:t xml:space="preserve">8.60B (Q3 2026)</w:t>
            </w:r>
          </w:p>
        </w:tc>
        <w:tc>
          <w:tcPr/>
          <w:p>
            <w:pPr>
              <w:pStyle w:val="Compact"/>
            </w:pPr>
            <w:r>
              <w:t xml:space="preserve">MEDIUM</w:t>
            </w:r>
          </w:p>
        </w:tc>
      </w:tr>
      <w:tr>
        <w:tc>
          <w:tcPr/>
          <w:p>
            <w:pPr>
              <w:pStyle w:val="Compact"/>
            </w:pPr>
            <w:r>
              <w:t xml:space="preserve">APH</w:t>
            </w:r>
          </w:p>
        </w:tc>
        <w:tc>
          <w:tcPr/>
          <w:p>
            <w:pPr>
              <w:pStyle w:val="Compact"/>
            </w:pPr>
            <w:r>
              <w:t xml:space="preserve">Guide</w:t>
            </w:r>
          </w:p>
        </w:tc>
        <w:tc>
          <w:tcPr/>
          <w:p>
            <w:pPr>
              <w:pStyle w:val="Compact"/>
            </w:pPr>
            <w:r>
              <w:t xml:space="preserve">Q3 2026 Adjusted EPS Guidance</w:t>
            </w:r>
          </w:p>
        </w:tc>
        <w:tc>
          <w:tcPr/>
          <w:p>
            <w:pPr>
              <w:pStyle w:val="Compact"/>
            </w:pPr>
            <w:r>
              <w:t xml:space="preserve">LOWER</w:t>
            </w:r>
          </w:p>
        </w:tc>
        <w:tc>
          <w:tcPr/>
          <w:p>
            <w:pPr>
              <w:pStyle w:val="Compact"/>
            </w:pPr>
            <w:r>
              <w:t xml:space="preserve">guide ~</w:t>
            </w:r>
            <m:oMath>
              <m:r>
                <m:t>1.20</m:t>
              </m:r>
              <m:r>
                <m:rPr>
                  <m:sty m:val="p"/>
                </m:rPr>
                <m:t>−</m:t>
              </m:r>
              <m:r>
                <m:t>1.23</m:t>
              </m:r>
              <m:r>
                <m:t>v</m:t>
              </m:r>
              <m:r>
                <m:t>s</m:t>
              </m:r>
              <m:r>
                <m:rPr>
                  <m:sty m:val="p"/>
                </m:rPr>
                <m:t>.</m:t>
              </m:r>
              <m:r>
                <m:t>c</m:t>
              </m:r>
              <m:r>
                <m:t>o</m:t>
              </m:r>
              <m:r>
                <m:t>n</m:t>
              </m:r>
              <m:r>
                <m:t>s</m:t>
              </m:r>
              <m:r>
                <m:t> </m:t>
              </m:r>
            </m:oMath>
            <w:r>
              <w:t xml:space="preserve">1.25 (Q3 2026)</w:t>
            </w:r>
          </w:p>
        </w:tc>
        <w:tc>
          <w:tcPr/>
          <w:p>
            <w:pPr>
              <w:pStyle w:val="Compact"/>
            </w:pPr>
            <w:r>
              <w:t xml:space="preserve">MEDIUM</w:t>
            </w:r>
          </w:p>
        </w:tc>
      </w:tr>
      <w:tr>
        <w:tc>
          <w:tcPr/>
          <w:p>
            <w:pPr>
              <w:pStyle w:val="Compact"/>
            </w:pPr>
            <w:r>
              <w:t xml:space="preserve">APH</w:t>
            </w:r>
          </w:p>
        </w:tc>
        <w:tc>
          <w:tcPr/>
          <w:p>
            <w:pPr>
              <w:pStyle w:val="Compact"/>
            </w:pPr>
            <w:r>
              <w:t xml:space="preserve">Guide</w:t>
            </w:r>
          </w:p>
        </w:tc>
        <w:tc>
          <w:tcPr/>
          <w:p>
            <w:pPr>
              <w:pStyle w:val="Compact"/>
            </w:pPr>
            <w:r>
              <w:t xml:space="preserve">FY2026 CCS Accretion Commentary</w:t>
            </w:r>
          </w:p>
        </w:tc>
        <w:tc>
          <w:tcPr/>
          <w:p>
            <w:pPr>
              <w:pStyle w:val="Compact"/>
            </w:pPr>
            <w:r>
              <w:t xml:space="preserve">BETTER</w:t>
            </w:r>
          </w:p>
        </w:tc>
        <w:tc>
          <w:tcPr/>
          <w:p>
            <w:pPr>
              <w:pStyle w:val="Compact"/>
            </w:pPr>
            <w:r>
              <w:t xml:space="preserve">guide ~</w:t>
            </w:r>
            <m:oMath>
              <m:r>
                <m:t>0.15</m:t>
              </m:r>
              <m:r>
                <m:rPr>
                  <m:sty m:val="p"/>
                </m:rPr>
                <m:t>−</m:t>
              </m:r>
              <m:r>
                <m:t>0.18</m:t>
              </m:r>
              <m:r>
                <m:t>a</m:t>
              </m:r>
              <m:r>
                <m:t>c</m:t>
              </m:r>
              <m:r>
                <m:t>c</m:t>
              </m:r>
              <m:r>
                <m:t>r</m:t>
              </m:r>
              <m:r>
                <m:t>e</m:t>
              </m:r>
              <m:r>
                <m:t>t</m:t>
              </m:r>
              <m:r>
                <m:t>i</m:t>
              </m:r>
              <m:r>
                <m:t>o</m:t>
              </m:r>
              <m:r>
                <m:t>n</m:t>
              </m:r>
              <m:r>
                <m:t>v</m:t>
              </m:r>
              <m:r>
                <m:t>s</m:t>
              </m:r>
              <m:r>
                <m:rPr>
                  <m:sty m:val="p"/>
                </m:rPr>
                <m:t>.</m:t>
              </m:r>
              <m:r>
                <m:t>c</m:t>
              </m:r>
              <m:r>
                <m:t>o</m:t>
              </m:r>
              <m:r>
                <m:t>n</m:t>
              </m:r>
              <m:r>
                <m:t>s</m:t>
              </m:r>
              <m:r>
                <m:t> </m:t>
              </m:r>
            </m:oMath>
            <w:r>
              <w:t xml:space="preserve">0.15 (FY2026)</w:t>
            </w:r>
          </w:p>
        </w:tc>
        <w:tc>
          <w:tcPr/>
          <w:p>
            <w:pPr>
              <w:pStyle w:val="Compact"/>
            </w:pPr>
            <w:r>
              <w:t xml:space="preserve">LOW</w:t>
            </w:r>
          </w:p>
        </w:tc>
      </w:tr>
      <w:tr>
        <w:tc>
          <w:tcPr/>
          <w:p>
            <w:pPr>
              <w:pStyle w:val="Compact"/>
            </w:pPr>
            <w:r>
              <w:t xml:space="preserve">APH</w:t>
            </w:r>
          </w:p>
        </w:tc>
        <w:tc>
          <w:tcPr/>
          <w:p>
            <w:pPr>
              <w:pStyle w:val="Compact"/>
            </w:pPr>
            <w:r>
              <w:t xml:space="preserve">Return</w:t>
            </w:r>
          </w:p>
        </w:tc>
        <w:tc>
          <w:tcPr/>
          <w:p>
            <w:pPr>
              <w:pStyle w:val="Compact"/>
            </w:pPr>
            <w:r>
              <w:t xml:space="preserve">Day-1 residual (stock − beta × S&amp;P 500)</w:t>
            </w:r>
          </w:p>
        </w:tc>
        <w:tc>
          <w:tcPr/>
          <w:p>
            <w:pPr>
              <w:pStyle w:val="Compact"/>
            </w:pPr>
            <w:r>
              <w:t xml:space="preserve">+2.5%</w:t>
            </w:r>
          </w:p>
        </w:tc>
        <w:tc>
          <w:tcPr/>
          <w:p>
            <w:pPr>
              <w:pStyle w:val="Compact"/>
            </w:pPr>
            <w:r>
              <w:t xml:space="preserve">—</w:t>
            </w:r>
          </w:p>
        </w:tc>
        <w:tc>
          <w:tcPr/>
          <w:p>
            <w:pPr>
              <w:pStyle w:val="Compact"/>
            </w:pPr>
            <w:r>
              <w:t xml:space="preserve">MEDIUM</w:t>
            </w:r>
          </w:p>
        </w:tc>
      </w:tr>
      <w:tr>
        <w:tc>
          <w:tcPr/>
          <w:p>
            <w:pPr>
              <w:pStyle w:val="Compact"/>
            </w:pPr>
            <w:r>
              <w:t xml:space="preserve">APH</w:t>
            </w:r>
          </w:p>
        </w:tc>
        <w:tc>
          <w:tcPr/>
          <w:p>
            <w:pPr>
              <w:pStyle w:val="Compact"/>
            </w:pPr>
            <w:r>
              <w:t xml:space="preserve">Return</w:t>
            </w:r>
          </w:p>
        </w:tc>
        <w:tc>
          <w:tcPr/>
          <w:p>
            <w:pPr>
              <w:pStyle w:val="Compact"/>
            </w:pPr>
            <w:r>
              <w:t xml:space="preserve">5-day cumulative residual</w:t>
            </w:r>
          </w:p>
        </w:tc>
        <w:tc>
          <w:tcPr/>
          <w:p>
            <w:pPr>
              <w:pStyle w:val="Compact"/>
            </w:pPr>
            <w:r>
              <w:t xml:space="preserve">+1.0% (FADE)</w:t>
            </w:r>
          </w:p>
        </w:tc>
        <w:tc>
          <w:tcPr/>
          <w:p>
            <w:pPr>
              <w:pStyle w:val="Compact"/>
            </w:pPr>
            <w:r>
              <w:t xml:space="preserve">APH's historical pattern (Q1'26: guided $0.91-0.93 EPS, beat to $1.06, +11.6% vs. cons $0.95; Q4'25: guided $0.89-0.91, beat to $0.97) suggests another top/bottom-line beat and likely upward EPS revisions for FY26, supporting an initial pop. But Street consensus already sits above the high end of Q2 guidance (as it did into this print), so the Q3 guide will almost certainly print below already-elevated consensus - continuing the 'conservative guide, remove-the-beat-later' math that caps immediate multiple expansion. Layered on top is a fragile AI-capex tape (SK Hynix -47% from highs, ASML -5.8% on Chinese DUV competition, Amkor -23% post-print on a soft guide, Alphabet whipsawing on capex fears) that has repeatedly punished decent beats with weak or merely in-line forward guides. Expect the initial relief rally to partially fade over the week as algos/analysts digest the out-period guide gap and re-couple APH's high (~6x NTM sales) multiple to the broader AI-infrastructure risk-off mood, leaving only modest net follow-through by day 5.</w:t>
            </w:r>
          </w:p>
        </w:tc>
        <w:tc>
          <w:tcPr/>
          <w:p>
            <w:pPr>
              <w:pStyle w:val="Compact"/>
            </w:pPr>
            <w:r>
              <w:t xml:space="preserve">LOW</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2026-07-29T01:16:15Z</dcterms:created>
  <dcterms:modified xsi:type="dcterms:W3CDTF">2026-07-29T01:16:15Z</dcterms:modified>
</cp:coreProperties>
</file>

<file path=docProps/custom.xml><?xml version="1.0" encoding="utf-8"?>
<Properties xmlns="http://schemas.openxmlformats.org/officeDocument/2006/custom-properties" xmlns:vt="http://schemas.openxmlformats.org/officeDocument/2006/docPropsVTypes"/>
</file>