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amphenol-aph-q2-2026-earnings-preview"/>
    <w:p>
      <w:pPr>
        <w:pStyle w:val="Heading1"/>
      </w:pPr>
      <w:r>
        <w:t xml:space="preserve">Amphenol (APH) Q2 2026 Earnings Preview</w:t>
      </w:r>
    </w:p>
    <w:p>
      <w:pPr>
        <w:pStyle w:val="FirstParagraph"/>
      </w:pPr>
      <w:r>
        <w:rPr>
          <w:b/>
          <w:bCs/>
        </w:rPr>
        <w:t xml:space="preserve">Report Date:</w:t>
      </w:r>
      <w:r>
        <w:t xml:space="preserve"> </w:t>
      </w:r>
      <w:r>
        <w:t xml:space="preserve">Wednesday, July 29, 2026 (before market open)</w:t>
      </w:r>
      <w:r>
        <w:t xml:space="preserve"> </w:t>
      </w:r>
      <w:r>
        <w:rPr>
          <w:b/>
          <w:bCs/>
        </w:rPr>
        <w:t xml:space="preserve">Last Close (7/28/26):</w:t>
      </w:r>
      <w:r>
        <w:t xml:space="preserve"> </w:t>
      </w:r>
      <w:r>
        <w:t xml:space="preserve">~$143.88 (down roughly 18% from a late-June high near $176)</w:t>
      </w:r>
    </w:p>
    <w:bookmarkStart w:id="9" w:name="setting-the-stage"/>
    <w:p>
      <w:pPr>
        <w:pStyle w:val="Heading2"/>
      </w:pPr>
      <w:r>
        <w:t xml:space="preserve">Setting the Stage</w:t>
      </w:r>
    </w:p>
    <w:p>
      <w:pPr>
        <w:pStyle w:val="FirstParagraph"/>
      </w:pPr>
      <w:r>
        <w:t xml:space="preserve">Amphenol heads into tomorrow's print as one of the market's marquee AI-infrastructure "picks and shovels" plays, fresh off a blowout Q1 that included the transformative close of the ~$10.5 billion CommScope (Connectivity and Cable Solutions) acquisition. The stock has pulled back sharply over the past month even as fundamentals have remained strong — a dynamic that sets up an unusually high-stakes print. Recent declines have been attributed to a sector-wide pullback in technology and semiconductor stocks and stretched valuation metrics that have made the stock vulnerable to de-risking, alongside institutional divestment and high-multiple vulnerability. Some of the more recent single-day declines were also linked to speculation that management's fiscal guidance missed optimistic institutional analyst expectations and to broader slower recovery in telecommunications and mobile networks relative to the AI-driven segments. One analyst has framed the debate succinctly: Amphenol is a top-tier industrial compounder with strong AI infrastructure exposure across all segments, but the same piece argues shares trading at ~6x NTM revenue leave "limited upside versus risk."</w:t>
      </w:r>
    </w:p>
    <w:bookmarkEnd w:id="9"/>
    <w:bookmarkStart w:id="10" w:name="what-happened-last-quarter-q1-2026-recap"/>
    <w:p>
      <w:pPr>
        <w:pStyle w:val="Heading2"/>
      </w:pPr>
      <w:r>
        <w:t xml:space="preserve">What Happened Last Quarter (Q1 2026 Recap)</w:t>
      </w:r>
    </w:p>
    <w:p>
      <w:pPr>
        <w:pStyle w:val="FirstParagraph"/>
      </w:pPr>
      <w:r>
        <w:t xml:space="preserve">Amphenol delivered a record quarter that beat its own guidance on both lines:</w:t>
      </w:r>
    </w:p>
    <w:p>
      <w:pPr>
        <w:pStyle w:val="Compact"/>
        <w:numPr>
          <w:ilvl w:val="0"/>
          <w:numId w:val="1001"/>
        </w:numPr>
      </w:pPr>
      <w:r>
        <w:rPr>
          <w:b/>
          <w:bCs/>
        </w:rPr>
        <w:t xml:space="preserve">Sales:</w:t>
      </w:r>
      <w:r>
        <w:t xml:space="preserve"> </w:t>
      </w:r>
      <w:r>
        <w:t xml:space="preserve">$7.62 billion, up 58% in U.S. dollars and</w:t>
      </w:r>
      <w:r>
        <w:t xml:space="preserve"> </w:t>
      </w:r>
      <w:r>
        <w:rPr>
          <w:b/>
          <w:bCs/>
        </w:rPr>
        <w:t xml:space="preserve">33% organically</w:t>
      </w:r>
      <w:r>
        <w:t xml:space="preserve"> </w:t>
      </w:r>
      <w:r>
        <w:t xml:space="preserve">year-over-year</w:t>
      </w:r>
    </w:p>
    <w:p>
      <w:pPr>
        <w:pStyle w:val="Compact"/>
        <w:numPr>
          <w:ilvl w:val="0"/>
          <w:numId w:val="1001"/>
        </w:numPr>
      </w:pPr>
      <w:r>
        <w:rPr>
          <w:b/>
          <w:bCs/>
        </w:rPr>
        <w:t xml:space="preserve">Adjusted Diluted EPS:</w:t>
      </w:r>
      <w:r>
        <w:t xml:space="preserve"> </w:t>
      </w:r>
      <w:r>
        <w:t xml:space="preserve">$1.06, up 68% y/y, exceeding guidance</w:t>
      </w:r>
    </w:p>
    <w:p>
      <w:pPr>
        <w:pStyle w:val="Compact"/>
        <w:numPr>
          <w:ilvl w:val="0"/>
          <w:numId w:val="1001"/>
        </w:numPr>
      </w:pPr>
      <w:r>
        <w:rPr>
          <w:b/>
          <w:bCs/>
        </w:rPr>
        <w:t xml:space="preserve">Orders:</w:t>
      </w:r>
      <w:r>
        <w:t xml:space="preserve"> </w:t>
      </w:r>
      <w:r>
        <w:t xml:space="preserve">A record $9.435 billion, up 78% y/y, producing a</w:t>
      </w:r>
      <w:r>
        <w:t xml:space="preserve"> </w:t>
      </w:r>
      <w:r>
        <w:rPr>
          <w:b/>
          <w:bCs/>
        </w:rPr>
        <w:t xml:space="preserve">book-to-bill of 1.24:1</w:t>
      </w:r>
      <w:r>
        <w:t xml:space="preserve">, with every end market posting a positive book-to-bill</w:t>
      </w:r>
    </w:p>
    <w:p>
      <w:pPr>
        <w:pStyle w:val="Compact"/>
        <w:numPr>
          <w:ilvl w:val="0"/>
          <w:numId w:val="1001"/>
        </w:numPr>
      </w:pPr>
      <w:r>
        <w:rPr>
          <w:b/>
          <w:bCs/>
        </w:rPr>
        <w:t xml:space="preserve">Adjusted Operating Margin:</w:t>
      </w:r>
      <w:r>
        <w:t xml:space="preserve"> </w:t>
      </w:r>
      <w:r>
        <w:t xml:space="preserve">27.3%, up 380 bps y/y despite acquisition dilution from CommScope</w:t>
      </w:r>
    </w:p>
    <w:p>
      <w:pPr>
        <w:pStyle w:val="FirstParagraph"/>
      </w:pPr>
      <w:r>
        <w:t xml:space="preserve">Management was emphatic about the strength: "We are pleased to have closed the first quarter of 2026 with record sales and Adjusted Diluted EPS, both exceeding the high end of our guidance," said CEO Adam Norwitt, noting that sales increased from prior year by 58%, driven by strong organic growth in most of our end markets, including exceptional organic growth in the IT datacom market.</w:t>
      </w:r>
    </w:p>
    <w:p>
      <w:pPr>
        <w:pStyle w:val="BodyText"/>
      </w:pPr>
      <w:r>
        <w:t xml:space="preserve">Capital returns remained robust: the company purchased 1.3 million shares of its common stock for $178 million and paid dividends of $307 million, resulting in total capital returned to shareholders of nearly $485 million.</w:t>
      </w:r>
    </w:p>
    <w:bookmarkEnd w:id="10"/>
    <w:bookmarkStart w:id="11" w:name="the-q2-2026-guide--the-bar-to-beat"/>
    <w:p>
      <w:pPr>
        <w:pStyle w:val="Heading2"/>
      </w:pPr>
      <w:r>
        <w:t xml:space="preserve">The Q2 2026 Guide — The Bar to Beat</w:t>
      </w:r>
    </w:p>
    <w:p>
      <w:pPr>
        <w:pStyle w:val="FirstParagraph"/>
      </w:pPr>
      <w:r>
        <w:t xml:space="preserve">Management's guidance, issued alongside Q1 results, calls for:</w:t>
      </w:r>
    </w:p>
    <w:p>
      <w:pPr>
        <w:pStyle w:val="Compact"/>
        <w:numPr>
          <w:ilvl w:val="0"/>
          <w:numId w:val="1002"/>
        </w:numPr>
      </w:pPr>
      <w:r>
        <w:rPr>
          <w:b/>
          <w:bCs/>
        </w:rPr>
        <w:t xml:space="preserve">Sales:</w:t>
      </w:r>
      <w:r>
        <w:t xml:space="preserve"> </w:t>
      </w:r>
      <m:oMath>
        <m:r>
          <m:t>8.1</m:t>
        </m:r>
        <m:r>
          <m:rPr>
            <m:sty m:val="p"/>
          </m:rPr>
          <m:t>–</m:t>
        </m:r>
      </m:oMath>
      <w:r>
        <w:t xml:space="preserve">8.2 billion, representing 43% to 45% increase over the prior year quarter</w:t>
      </w:r>
    </w:p>
    <w:p>
      <w:pPr>
        <w:pStyle w:val="Compact"/>
        <w:numPr>
          <w:ilvl w:val="0"/>
          <w:numId w:val="1002"/>
        </w:numPr>
      </w:pPr>
      <w:r>
        <w:rPr>
          <w:b/>
          <w:bCs/>
        </w:rPr>
        <w:t xml:space="preserve">Adjusted Diluted EPS:</w:t>
      </w:r>
      <w:r>
        <w:t xml:space="preserve"> </w:t>
      </w:r>
      <m:oMath>
        <m:r>
          <m:t>1.14</m:t>
        </m:r>
        <m:r>
          <m:rPr>
            <m:sty m:val="p"/>
          </m:rPr>
          <m:t>–</m:t>
        </m:r>
      </m:oMath>
      <w:r>
        <w:t xml:space="preserve">1.16, representing 41% to 43% increase from the second quarter of 2025</w:t>
      </w:r>
    </w:p>
    <w:p>
      <w:pPr>
        <w:pStyle w:val="FirstParagraph"/>
      </w:pPr>
      <w:r>
        <w:t xml:space="preserve">Notably,</w:t>
      </w:r>
      <w:r>
        <w:t xml:space="preserve"> </w:t>
      </w:r>
      <w:r>
        <w:rPr>
          <w:b/>
          <w:bCs/>
        </w:rPr>
        <w:t xml:space="preserve">Street expectations now sit above the top end of guidance</w:t>
      </w:r>
      <w:r>
        <w:t xml:space="preserve"> </w:t>
      </w:r>
      <w:r>
        <w:t xml:space="preserve">— a setup that raises the bar for tomorrow's print. Consensus is reportedly looking for earnings of $1.18 per share and revenue of $8.2633 billion for the quarter, while the Zacks Consensus Estimate for the quarter has increased 2.6% to $1.19 per [share]. Given Amphenol's consistent pattern of guiding conservatively and beating (it did so in Q1, when it reported $1.06 earnings per share (EPS) for the quarter, topping the consensus estimate of $0.95 by $0.11), the real question is less "will they beat guidance" and more "will they beat the now-elevated Street numbers" and, critically, how they guide Q3.</w:t>
      </w:r>
    </w:p>
    <w:bookmarkEnd w:id="11"/>
    <w:bookmarkStart w:id="12" w:name="key-themes-to-watch-in-the-print"/>
    <w:p>
      <w:pPr>
        <w:pStyle w:val="Heading2"/>
      </w:pPr>
      <w:r>
        <w:t xml:space="preserve">Key Themes to Watch in the Print</w:t>
      </w:r>
    </w:p>
    <w:p>
      <w:pPr>
        <w:pStyle w:val="FirstParagraph"/>
      </w:pPr>
      <w:r>
        <w:rPr>
          <w:b/>
          <w:bCs/>
        </w:rPr>
        <w:t xml:space="preserve">1. AI/IT Datacom momentum and the Q2 cadence.</w:t>
      </w:r>
      <w:r>
        <w:t xml:space="preserve"> </w:t>
      </w:r>
      <w:r>
        <w:t xml:space="preserve">IT datacom was already 41% in the [first] quarter of sales, with sales grew by a very strong 99% in U.S. dollars and 81% organically, driven by the continued acceleration in demand for our products used in AI applications. Management guided to a further sequential increase in Q2 in the low teens level as investments in AI data centers accelerate. Investors will want confirmation this pace held (or accelerated), plus commentary on order trends and lead times heading into 2H.</w:t>
      </w:r>
    </w:p>
    <w:p>
      <w:pPr>
        <w:pStyle w:val="BodyText"/>
      </w:pPr>
      <w:r>
        <w:rPr>
          <w:b/>
          <w:bCs/>
        </w:rPr>
        <w:t xml:space="preserve">2. CommScope (CCS) integration and accretion.</w:t>
      </w:r>
      <w:r>
        <w:t xml:space="preserve"> </w:t>
      </w:r>
      <w:r>
        <w:t xml:space="preserve">The deal closed at the start of January and management reiterated its target of roughly $4.1 billion in sales and $0.15 of accretion for the year, noting CCS's growth level, largely at the same pace of Amphenol's own organic growth in Q1 — well ahead of the mid-teens growth assumed at deal signing. Watch for margin convergence: CCS remains dilutive to consolidated margins for now, but management expects it to move closer to the company average over time.</w:t>
      </w:r>
    </w:p>
    <w:p>
      <w:pPr>
        <w:pStyle w:val="BodyText"/>
      </w:pPr>
      <w:r>
        <w:rPr>
          <w:b/>
          <w:bCs/>
        </w:rPr>
        <w:t xml:space="preserve">3. Segment/end-market cross-currents.</w:t>
      </w:r>
      <w:r>
        <w:t xml:space="preserve"> </w:t>
      </w:r>
      <w:r>
        <w:t xml:space="preserve">Defense (8% of sales) grew 44% y/y / 25% organically in Q1, with a guided high single-digit range sequentially increase for Q2 — a segment management called a potential long-term structural shift in the demand dynamics. Industrial (20% of sales) grew 52% y/y with guidance for another high single digits sequential gain. By contrast, communications networks (12% of sales, boosted by CommScope) was flat organically in Q1 as growth in wireless applications was offset by some moderations in broadband demand, with Q2 guided flat sequentially — this is likely the segment behind concerns about a "slower telecom recovery." Automotive (11%) and mobile devices (4%) remain the softest organic growers, guided to only modest sequential moves.</w:t>
      </w:r>
    </w:p>
    <w:p>
      <w:pPr>
        <w:pStyle w:val="BodyText"/>
      </w:pPr>
      <w:r>
        <w:rPr>
          <w:b/>
          <w:bCs/>
        </w:rPr>
        <w:t xml:space="preserve">4. Margins and cost pass-through.</w:t>
      </w:r>
      <w:r>
        <w:t xml:space="preserve"> </w:t>
      </w:r>
      <w:r>
        <w:t xml:space="preserve">Adjusted operating margin of 27.3% in Q1 was just slightly under kind of record margins from 2H 2025, achieved despite CommScope dilution. CFO Craig Lampo attributed this to factory productivity, vendor management and disciplined, GM-led pricing rather than blanket cost pass-through. Any signs of margin pressure from tariffs, component costs, or slower CCS integration would be a key focus for analysts.</w:t>
      </w:r>
    </w:p>
    <w:p>
      <w:pPr>
        <w:pStyle w:val="BodyText"/>
      </w:pPr>
      <w:r>
        <w:rPr>
          <w:b/>
          <w:bCs/>
        </w:rPr>
        <w:t xml:space="preserve">5. Balance sheet and capital deployment.</w:t>
      </w:r>
      <w:r>
        <w:t xml:space="preserve"> </w:t>
      </w:r>
      <w:r>
        <w:t xml:space="preserve">Amphenol funded CommScope with a mix of cash and debt, ending Q1 with</w:t>
      </w:r>
      <w:r>
        <w:t xml:space="preserve"> </w:t>
      </w:r>
      <w:r>
        <w:rPr>
          <w:b/>
          <w:bCs/>
        </w:rPr>
        <w:t xml:space="preserve">total debt of $18.7 billion, net debt of $14.2 billion, and net leverage of 1.6x EBITDA</w:t>
      </w:r>
      <w:r>
        <w:t xml:space="preserve"> </w:t>
      </w:r>
      <w:r>
        <w:t xml:space="preserve">(Q1 EBITDA was $2.3 billion), backed by</w:t>
      </w:r>
      <w:r>
        <w:t xml:space="preserve"> </w:t>
      </w:r>
      <m:oMath>
        <m:r>
          <m:t>7.6</m:t>
        </m:r>
        <m:r>
          <m:t>b</m:t>
        </m:r>
        <m:r>
          <m:t>i</m:t>
        </m:r>
        <m:r>
          <m:t>l</m:t>
        </m:r>
        <m:r>
          <m:t>l</m:t>
        </m:r>
        <m:r>
          <m:t>i</m:t>
        </m:r>
        <m:r>
          <m:t>o</m:t>
        </m:r>
        <m:r>
          <m:t>n</m:t>
        </m:r>
        <m:r>
          <m:t>o</m:t>
        </m:r>
        <m:r>
          <m:t>f</m:t>
        </m:r>
        <m:r>
          <m:t>t</m:t>
        </m:r>
        <m:r>
          <m:t>o</m:t>
        </m:r>
        <m:r>
          <m:t>t</m:t>
        </m:r>
        <m:r>
          <m:t>a</m:t>
        </m:r>
        <m:r>
          <m:t>l</m:t>
        </m:r>
        <m:r>
          <m:t>l</m:t>
        </m:r>
        <m:r>
          <m:t>i</m:t>
        </m:r>
        <m:r>
          <m:t>q</m:t>
        </m:r>
        <m:r>
          <m:t>u</m:t>
        </m:r>
        <m:r>
          <m:t>i</m:t>
        </m:r>
        <m:r>
          <m:t>d</m:t>
        </m:r>
        <m:r>
          <m:t>i</m:t>
        </m:r>
        <m:r>
          <m:t>t</m:t>
        </m:r>
        <m:r>
          <m:t>y</m:t>
        </m:r>
        <m:r>
          <m:rPr>
            <m:sty m:val="p"/>
          </m:rPr>
          <m:t>.</m:t>
        </m:r>
        <m:r>
          <m:t>T</m:t>
        </m:r>
        <m:r>
          <m:t>h</m:t>
        </m:r>
        <m:r>
          <m:t>e</m:t>
        </m:r>
        <m:r>
          <m:t>c</m:t>
        </m:r>
        <m:r>
          <m:t>o</m:t>
        </m:r>
        <m:r>
          <m:t>m</m:t>
        </m:r>
        <m:r>
          <m:t>p</m:t>
        </m:r>
        <m:r>
          <m:t>a</m:t>
        </m:r>
        <m:r>
          <m:t>n</m:t>
        </m:r>
        <m:r>
          <m:t>y</m:t>
        </m:r>
        <m:r>
          <m:t>h</m:t>
        </m:r>
        <m:r>
          <m:t>a</m:t>
        </m:r>
        <m:r>
          <m:t>s</m:t>
        </m:r>
        <m:r>
          <m:t>s</m:t>
        </m:r>
        <m:r>
          <m:t>i</m:t>
        </m:r>
        <m:r>
          <m:t>n</m:t>
        </m:r>
        <m:r>
          <m:t>c</m:t>
        </m:r>
        <m:r>
          <m:t>e</m:t>
        </m:r>
        <m:r>
          <m:t>l</m:t>
        </m:r>
        <m:r>
          <m:t>a</m:t>
        </m:r>
        <m:r>
          <m:t>y</m:t>
        </m:r>
        <m:r>
          <m:t>e</m:t>
        </m:r>
        <m:r>
          <m:t>r</m:t>
        </m:r>
        <m:r>
          <m:t>e</m:t>
        </m:r>
        <m:r>
          <m:t>d</m:t>
        </m:r>
        <m:r>
          <m:t>o</m:t>
        </m:r>
        <m:r>
          <m:t>n</m:t>
        </m:r>
        <m:r>
          <m:t>a</m:t>
        </m:r>
        <m:r>
          <m:t>d</m:t>
        </m:r>
        <m:r>
          <m:t>d</m:t>
        </m:r>
        <m:r>
          <m:t>i</m:t>
        </m:r>
        <m:r>
          <m:t>t</m:t>
        </m:r>
        <m:r>
          <m:t>i</m:t>
        </m:r>
        <m:r>
          <m:t>o</m:t>
        </m:r>
        <m:r>
          <m:t>n</m:t>
        </m:r>
        <m:r>
          <m:t>a</m:t>
        </m:r>
        <m:r>
          <m:t>l</m:t>
        </m:r>
        <m:r>
          <m:t>f</m:t>
        </m:r>
        <m:r>
          <m:t>i</m:t>
        </m:r>
        <m:r>
          <m:t>n</m:t>
        </m:r>
        <m:r>
          <m:t>a</m:t>
        </m:r>
        <m:r>
          <m:t>n</m:t>
        </m:r>
        <m:r>
          <m:t>c</m:t>
        </m:r>
        <m:r>
          <m:t>i</m:t>
        </m:r>
        <m:r>
          <m:t>n</m:t>
        </m:r>
        <m:r>
          <m:t>g</m:t>
        </m:r>
        <m:r>
          <m:rPr>
            <m:sty m:val="p"/>
          </m:rPr>
          <m:t>,</m:t>
        </m:r>
        <m:r>
          <m:t>i</m:t>
        </m:r>
        <m:r>
          <m:t>n</m:t>
        </m:r>
        <m:r>
          <m:t>c</m:t>
        </m:r>
        <m:r>
          <m:t>l</m:t>
        </m:r>
        <m:r>
          <m:t>u</m:t>
        </m:r>
        <m:r>
          <m:t>d</m:t>
        </m:r>
        <m:r>
          <m:t>i</m:t>
        </m:r>
        <m:r>
          <m:t>n</m:t>
        </m:r>
        <m:r>
          <m:t>g</m:t>
        </m:r>
        <m:r>
          <m:t>a</m:t>
        </m:r>
        <m:r>
          <m:rPr>
            <m:sty m:val="p"/>
          </m:rPr>
          <m:t>€</m:t>
        </m:r>
        <m:r>
          <m:t>1.1</m:t>
        </m:r>
        <m:r>
          <m:t>b</m:t>
        </m:r>
        <m:r>
          <m:t>i</m:t>
        </m:r>
        <m:r>
          <m:t>l</m:t>
        </m:r>
        <m:r>
          <m:t>l</m:t>
        </m:r>
        <m:r>
          <m:t>i</m:t>
        </m:r>
        <m:r>
          <m:t>o</m:t>
        </m:r>
        <m:r>
          <m:t>n</m:t>
        </m:r>
        <m:r>
          <m:t>s</m:t>
        </m:r>
        <m:r>
          <m:t>e</m:t>
        </m:r>
        <m:r>
          <m:t>n</m:t>
        </m:r>
        <m:r>
          <m:t>i</m:t>
        </m:r>
        <m:r>
          <m:t>o</m:t>
        </m:r>
        <m:r>
          <m:t>r</m:t>
        </m:r>
        <m:r>
          <m:t>n</m:t>
        </m:r>
        <m:r>
          <m:t>o</m:t>
        </m:r>
        <m:r>
          <m:t>t</m:t>
        </m:r>
        <m:r>
          <m:t>e</m:t>
        </m:r>
        <m:r>
          <m:t>s</m:t>
        </m:r>
        <m:r>
          <m:t>o</m:t>
        </m:r>
        <m:r>
          <m:t>f</m:t>
        </m:r>
        <m:r>
          <m:t>f</m:t>
        </m:r>
        <m:r>
          <m:t>e</m:t>
        </m:r>
        <m:r>
          <m:t>r</m:t>
        </m:r>
        <m:r>
          <m:t>i</m:t>
        </m:r>
        <m:r>
          <m:t>n</m:t>
        </m:r>
        <m:r>
          <m:t>g</m:t>
        </m:r>
        <m:r>
          <m:t>i</m:t>
        </m:r>
        <m:r>
          <m:t>n</m:t>
        </m:r>
        <m:r>
          <m:t>M</m:t>
        </m:r>
        <m:r>
          <m:t>a</m:t>
        </m:r>
        <m:r>
          <m:t>y</m:t>
        </m:r>
        <m:r>
          <m:t>e</m:t>
        </m:r>
        <m:r>
          <m:t>x</m:t>
        </m:r>
        <m:r>
          <m:t>p</m:t>
        </m:r>
        <m:r>
          <m:t>l</m:t>
        </m:r>
        <m:r>
          <m:t>i</m:t>
        </m:r>
        <m:r>
          <m:t>c</m:t>
        </m:r>
        <m:r>
          <m:t>i</m:t>
        </m:r>
        <m:r>
          <m:t>t</m:t>
        </m:r>
        <m:r>
          <m:t>l</m:t>
        </m:r>
        <m:r>
          <m:t>y</m:t>
        </m:r>
        <m:r>
          <m:t>f</m:t>
        </m:r>
        <m:r>
          <m:t>o</m:t>
        </m:r>
        <m:r>
          <m:t>r</m:t>
        </m:r>
        <m:r>
          <m:t>d</m:t>
        </m:r>
        <m:r>
          <m:t>e</m:t>
        </m:r>
        <m:r>
          <m:t>b</m:t>
        </m:r>
        <m:r>
          <m:t>t</m:t>
        </m:r>
        <m:r>
          <m:t>r</m:t>
        </m:r>
        <m:r>
          <m:t>e</m:t>
        </m:r>
        <m:r>
          <m:t>p</m:t>
        </m:r>
        <m:r>
          <m:t>a</m:t>
        </m:r>
        <m:r>
          <m:t>y</m:t>
        </m:r>
        <m:r>
          <m:t>m</m:t>
        </m:r>
        <m:r>
          <m:t>e</m:t>
        </m:r>
        <m:r>
          <m:t>n</m:t>
        </m:r>
        <m:r>
          <m:t>t</m:t>
        </m:r>
        <m:r>
          <m:t>a</m:t>
        </m:r>
        <m:r>
          <m:t>n</m:t>
        </m:r>
        <m:r>
          <m:t>d</m:t>
        </m:r>
        <m:r>
          <m:t>a</m:t>
        </m:r>
        <m:r>
          <m:rPr>
            <m:sty m:val="p"/>
          </m:rPr>
          <m:t>€</m:t>
        </m:r>
        <m:r>
          <m:t>500</m:t>
        </m:r>
        <m:r>
          <m:t>m</m:t>
        </m:r>
        <m:r>
          <m:t>i</m:t>
        </m:r>
        <m:r>
          <m:t>l</m:t>
        </m:r>
        <m:r>
          <m:t>l</m:t>
        </m:r>
        <m:r>
          <m:t>i</m:t>
        </m:r>
        <m:r>
          <m:t>o</m:t>
        </m:r>
        <m:r>
          <m:t>n</m:t>
        </m:r>
        <m:r>
          <m:t>b</m:t>
        </m:r>
        <m:r>
          <m:t>o</m:t>
        </m:r>
        <m:r>
          <m:t>n</m:t>
        </m:r>
        <m:r>
          <m:t>d</m:t>
        </m:r>
        <m:r>
          <m:t>s</m:t>
        </m:r>
        <m:r>
          <m:t>a</m:t>
        </m:r>
        <m:r>
          <m:t>l</m:t>
        </m:r>
        <m:r>
          <m:t>e</m:t>
        </m:r>
        <m:r>
          <m:t>i</m:t>
        </m:r>
        <m:r>
          <m:t>n</m:t>
        </m:r>
        <m:r>
          <m:t>M</m:t>
        </m:r>
        <m:r>
          <m:t>a</m:t>
        </m:r>
        <m:r>
          <m:t>r</m:t>
        </m:r>
        <m:r>
          <m:t>c</m:t>
        </m:r>
        <m:r>
          <m:t>h</m:t>
        </m:r>
        <m:r>
          <m:rPr>
            <m:sty m:val="p"/>
          </m:rPr>
          <m:t>—</m:t>
        </m:r>
        <m:r>
          <m:t>e</m:t>
        </m:r>
        <m:r>
          <m:t>v</m:t>
        </m:r>
        <m:r>
          <m:t>i</m:t>
        </m:r>
        <m:r>
          <m:t>d</m:t>
        </m:r>
        <m:r>
          <m:t>e</m:t>
        </m:r>
        <m:r>
          <m:t>n</m:t>
        </m:r>
        <m:r>
          <m:t>c</m:t>
        </m:r>
        <m:r>
          <m:t>e</m:t>
        </m:r>
        <m:r>
          <m:t>o</m:t>
        </m:r>
        <m:r>
          <m:t>f</m:t>
        </m:r>
        <m:r>
          <m:t>o</m:t>
        </m:r>
        <m:r>
          <m:t>n</m:t>
        </m:r>
        <m:r>
          <m:t>g</m:t>
        </m:r>
        <m:r>
          <m:t>o</m:t>
        </m:r>
        <m:r>
          <m:t>i</m:t>
        </m:r>
        <m:r>
          <m:t>n</m:t>
        </m:r>
        <m:r>
          <m:t>g</m:t>
        </m:r>
        <m:r>
          <m:t>b</m:t>
        </m:r>
        <m:r>
          <m:t>a</m:t>
        </m:r>
        <m:r>
          <m:t>l</m:t>
        </m:r>
        <m:r>
          <m:t>a</m:t>
        </m:r>
        <m:r>
          <m:t>n</m:t>
        </m:r>
        <m:r>
          <m:t>c</m:t>
        </m:r>
        <m:r>
          <m:t>e</m:t>
        </m:r>
        <m:r>
          <m:rPr>
            <m:sty m:val="p"/>
          </m:rPr>
          <m:t>−</m:t>
        </m:r>
        <m:r>
          <m:t>s</m:t>
        </m:r>
        <m:r>
          <m:t>h</m:t>
        </m:r>
        <m:r>
          <m:t>e</m:t>
        </m:r>
        <m:r>
          <m:t>e</m:t>
        </m:r>
        <m:r>
          <m:t>t</m:t>
        </m:r>
        <m:r>
          <m:t>m</m:t>
        </m:r>
        <m:r>
          <m:t>a</m:t>
        </m:r>
        <m:r>
          <m:t>n</m:t>
        </m:r>
        <m:r>
          <m:t>a</m:t>
        </m:r>
        <m:r>
          <m:t>g</m:t>
        </m:r>
        <m:r>
          <m:t>e</m:t>
        </m:r>
        <m:r>
          <m:t>m</m:t>
        </m:r>
        <m:r>
          <m:t>e</m:t>
        </m:r>
        <m:r>
          <m:t>n</m:t>
        </m:r>
        <m:r>
          <m:t>t</m:t>
        </m:r>
        <m:r>
          <m:t>p</m:t>
        </m:r>
        <m:r>
          <m:t>o</m:t>
        </m:r>
        <m:r>
          <m:t>s</m:t>
        </m:r>
        <m:r>
          <m:t>t</m:t>
        </m:r>
        <m:r>
          <m:rPr>
            <m:sty m:val="p"/>
          </m:rPr>
          <m:t>−</m:t>
        </m:r>
        <m:r>
          <m:t>d</m:t>
        </m:r>
        <m:r>
          <m:t>e</m:t>
        </m:r>
        <m:r>
          <m:t>a</m:t>
        </m:r>
        <m:r>
          <m:t>l</m:t>
        </m:r>
        <m:r>
          <m:rPr>
            <m:sty m:val="p"/>
          </m:rPr>
          <m:t>.</m:t>
        </m:r>
        <m:r>
          <m:t>I</m:t>
        </m:r>
        <m:r>
          <m:t>n</m:t>
        </m:r>
        <m:r>
          <m:t>t</m:t>
        </m:r>
        <m:r>
          <m:t>e</m:t>
        </m:r>
        <m:r>
          <m:t>r</m:t>
        </m:r>
        <m:r>
          <m:t>e</m:t>
        </m:r>
        <m:r>
          <m:t>s</m:t>
        </m:r>
        <m:r>
          <m:t>t</m:t>
        </m:r>
        <m:r>
          <m:t>e</m:t>
        </m:r>
        <m:r>
          <m:t>x</m:t>
        </m:r>
        <m:r>
          <m:t>p</m:t>
        </m:r>
        <m:r>
          <m:t>e</m:t>
        </m:r>
        <m:r>
          <m:t>n</m:t>
        </m:r>
        <m:r>
          <m:t>s</m:t>
        </m:r>
        <m:r>
          <m:t>e</m:t>
        </m:r>
        <m:r>
          <m:t>i</m:t>
        </m:r>
        <m:r>
          <m:t>s</m:t>
        </m:r>
        <m:r>
          <m:t>e</m:t>
        </m:r>
        <m:r>
          <m:t>x</m:t>
        </m:r>
        <m:r>
          <m:t>p</m:t>
        </m:r>
        <m:r>
          <m:t>e</m:t>
        </m:r>
        <m:r>
          <m:t>c</m:t>
        </m:r>
        <m:r>
          <m:t>t</m:t>
        </m:r>
        <m:r>
          <m:t>e</m:t>
        </m:r>
        <m:r>
          <m:t>d</m:t>
        </m:r>
        <m:r>
          <m:t>t</m:t>
        </m:r>
        <m:r>
          <m:t>o</m:t>
        </m:r>
        <m:r>
          <m:t>r</m:t>
        </m:r>
        <m:r>
          <m:t>u</m:t>
        </m:r>
        <m:r>
          <m:t>n</m:t>
        </m:r>
        <m:r>
          <m:rPr>
            <m:sty m:val="p"/>
          </m:rPr>
          <m:t>*</m:t>
        </m:r>
        <m:r>
          <m:rPr>
            <m:sty m:val="p"/>
          </m:rPr>
          <m:t>*</m:t>
        </m:r>
        <m:r>
          <m:t> </m:t>
        </m:r>
      </m:oMath>
      <w:r>
        <w:t xml:space="preserve">200 million/quarter net** for the remainder of 2026. Watch for updates on deleveraging pace and continued buyback/dividend cadence (Q1 saw ~$485 million returned to shareholders).</w:t>
      </w:r>
    </w:p>
    <w:p>
      <w:pPr>
        <w:pStyle w:val="BodyText"/>
      </w:pPr>
      <w:r>
        <w:rPr>
          <w:b/>
          <w:bCs/>
        </w:rPr>
        <w:t xml:space="preserve">6. Tax rate overhang.</w:t>
      </w:r>
      <w:r>
        <w:t xml:space="preserve"> </w:t>
      </w:r>
      <w:r>
        <w:t xml:space="preserve">The adjusted effective tax rate stepped up to</w:t>
      </w:r>
      <w:r>
        <w:t xml:space="preserve"> </w:t>
      </w:r>
      <w:r>
        <w:rPr>
          <w:b/>
          <w:bCs/>
        </w:rPr>
        <w:t xml:space="preserve">27%</w:t>
      </w:r>
      <w:r>
        <w:t xml:space="preserve"> </w:t>
      </w:r>
      <w:r>
        <w:t xml:space="preserve">in Q1 (from 24.5% a year ago), reflecting a shift of income toward higher-tax jurisdictions and a previously disclosed China tax matter — the company recorded a combined $290 million of discrete tax charges/reassessments in Q1 related to unfavorable Chinese tax authority determinations. Management expects the 27% adjusted rate to persist for the rest of 2026; any incremental China tax developments are worth monitoring.</w:t>
      </w:r>
    </w:p>
    <w:bookmarkEnd w:id="12"/>
    <w:bookmarkStart w:id="13" w:name="valuation-and-sentiment-backdrop"/>
    <w:p>
      <w:pPr>
        <w:pStyle w:val="Heading2"/>
      </w:pPr>
      <w:r>
        <w:t xml:space="preserve">Valuation and Sentiment Backdrop</w:t>
      </w:r>
    </w:p>
    <w:p>
      <w:pPr>
        <w:pStyle w:val="FirstParagraph"/>
      </w:pPr>
      <w:r>
        <w:t xml:space="preserve">Despite blistering growth, sentiment has cooled into the print. The stock is down roughly 10.5% into earnings even as the average analyst price target [stands at] $189.39 (compared to the current share price of $148.99) per recent commentary — implying the sell-side remains broadly constructive even as shares have de-rated. Coverage remains skewed bullish, with 14 recommend[ing] a "Strong Buy" and three other ratings out of 17 analysts cited in one recent preview, though the bear case centers on valuation: at multiples some peg near 6x NTM revenue, the stock may be pricing in flawless execution on both the AI ramp and CommScope integration, leaving little room for error.</w:t>
      </w:r>
    </w:p>
    <w:bookmarkEnd w:id="13"/>
    <w:bookmarkStart w:id="14" w:name="bottom-line-for-investors"/>
    <w:p>
      <w:pPr>
        <w:pStyle w:val="Heading2"/>
      </w:pPr>
      <w:r>
        <w:t xml:space="preserve">Bottom Line for Investors</w:t>
      </w:r>
    </w:p>
    <w:p>
      <w:pPr>
        <w:pStyle w:val="FirstParagraph"/>
      </w:pPr>
      <w:r>
        <w:t xml:space="preserve">Amphenol's underlying business momentum — record bookings, broad-based end-market strength, and a rapidly scaling AI/datacom franchise supercharged by CommScope — remains intact by every indication from Q1 and management's own Q2 guide. The stock's recent ~18% drawdown from its June highs appears to reflect valuation de-rating, sector rotation, and jitters about telecom/broadband softness and AI-capex durability rather than a deterioration in fundamentals. Tomorrow's print will be less about whether Amphenol clears its own guidance (a low bar given its track record) and more about: (1) whether it can also clear now-elevated consensus estimates that sit above the top of guidance, (2) the trajectory of IT datacom/AI orders and book-to-bill into 2H26, (3) progress integrating and de-risking CommScope, and (4) the tone of forward commentary given a market that has grown more skeptical of paying up for AI-exposed industrials.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2026-07-29T01:16:14Z</dcterms:created>
  <dcterms:modified xsi:type="dcterms:W3CDTF">2026-07-29T01:16:14Z</dcterms:modified>
</cp:coreProperties>
</file>

<file path=docProps/custom.xml><?xml version="1.0" encoding="utf-8"?>
<Properties xmlns="http://schemas.openxmlformats.org/officeDocument/2006/custom-properties" xmlns:vt="http://schemas.openxmlformats.org/officeDocument/2006/docPropsVTypes"/>
</file>