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ph-q2-2026-earnings-preview"/>
    <w:p>
      <w:pPr>
        <w:pStyle w:val="Heading1"/>
      </w:pPr>
      <w:r>
        <w:t xml:space="preserve">APH Q2 2026 Earnings Preview</w:t>
      </w:r>
    </w:p>
    <w:p>
      <w:pPr>
        <w:pStyle w:val="BlockText"/>
      </w:pPr>
      <w:r>
        <w:rPr>
          <w:b/>
          <w:bCs/>
        </w:rPr>
        <w:t xml:space="preserve">Timing note:</w:t>
      </w:r>
      <w:r>
        <w:t xml:space="preserve"> </w:t>
      </w:r>
      <w:r>
        <w:t xml:space="preserve">Amphenol’s second-quarter earnings are scheduled for</w:t>
      </w:r>
      <w:r>
        <w:t xml:space="preserve"> </w:t>
      </w:r>
      <w:r>
        <w:rPr>
          <w:b/>
          <w:bCs/>
        </w:rPr>
        <w:t xml:space="preserve">today, Wednesday, July 29, 2026</w:t>
      </w:r>
      <w:r>
        <w:t xml:space="preserve">, before the market opens—not tomorrow. The conference call begins at</w:t>
      </w:r>
      <w:r>
        <w:t xml:space="preserve"> </w:t>
      </w:r>
      <w:r>
        <w:rPr>
          <w:b/>
          <w:bCs/>
        </w:rPr>
        <w:t xml:space="preserve">1:00 p.m. ET</w:t>
      </w:r>
      <w:r>
        <w:t xml:space="preserve">. (</w:t>
      </w:r>
      <w:hyperlink r:id="rId9">
        <w:r>
          <w:rPr>
            <w:rStyle w:val="Hyperlink"/>
          </w:rPr>
          <w:t xml:space="preserve">investors.amphenol.com</w:t>
        </w:r>
      </w:hyperlink>
      <w:r>
        <w:t xml:space="preserve">)</w:t>
      </w:r>
    </w:p>
    <w:bookmarkStart w:id="11" w:name="the-setup"/>
    <w:p>
      <w:pPr>
        <w:pStyle w:val="Heading2"/>
      </w:pPr>
      <w:r>
        <w:t xml:space="preserve">The setup</w:t>
      </w:r>
    </w:p>
    <w:p>
      <w:pPr>
        <w:pStyle w:val="FirstParagraph"/>
      </w:pPr>
      <w:r>
        <w:t xml:space="preserve">Amphenol enters the report with exceptional operating momentum but a demanding earnings bar. First-quarter revenue grew 58% year over year, organic growth reached 33%, adjusted EPS increased 68%, and adjusted operating margin reached 27.3%. Orders were $9.4 billion, producing a 1.24 book-to-bill ratio. (</w:t>
      </w:r>
      <w:hyperlink r:id="rId10">
        <w:r>
          <w:rPr>
            <w:rStyle w:val="Hyperlink"/>
          </w:rPr>
          <w:t xml:space="preserve">investors.amphenol.com</w:t>
        </w:r>
      </w:hyperlink>
      <w:r>
        <w:t xml:space="preserve">)</w:t>
      </w:r>
    </w:p>
    <w:p>
      <w:pPr>
        <w:pStyle w:val="BodyText"/>
      </w:pPr>
      <w:r>
        <w:t xml:space="preserve">The central question is no longer whether APH benefits from AI infrastructure. It is whether AI-related demand, CommScope integration and margin execution remain strong enough to support estimates that have already moved above management’s original guidance.</w:t>
      </w:r>
    </w:p>
    <w:bookmarkEnd w:id="11"/>
    <w:bookmarkStart w:id="12" w:name="expectations"/>
    <w:p>
      <w:pPr>
        <w:pStyle w:val="Heading2"/>
      </w:pPr>
      <w:r>
        <w:t xml:space="preserve">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APH guidance</w:t>
            </w:r>
          </w:p>
        </w:tc>
        <w:tc>
          <w:tcPr/>
          <w:p>
            <w:pPr>
              <w:pStyle w:val="Compact"/>
              <w:jc w:val="right"/>
            </w:pPr>
            <w:r>
              <w:t xml:space="preserve">Current consensus</w:t>
            </w:r>
          </w:p>
        </w:tc>
        <w:tc>
          <w:tcPr/>
          <w:p>
            <w:pPr>
              <w:pStyle w:val="Compact"/>
              <w:jc w:val="right"/>
            </w:pPr>
            <w:r>
              <w:t xml:space="preserve">Q2 2025</w:t>
            </w:r>
          </w:p>
        </w:tc>
      </w:tr>
      <w:tr>
        <w:tc>
          <w:tcPr/>
          <w:p>
            <w:pPr>
              <w:pStyle w:val="Compact"/>
            </w:pPr>
            <w:r>
              <w:t xml:space="preserve">Revenue</w:t>
            </w:r>
          </w:p>
        </w:tc>
        <w:tc>
          <w:tcPr/>
          <w:p>
            <w:pPr>
              <w:pStyle w:val="Compact"/>
              <w:jc w:val="right"/>
            </w:pPr>
            <m:oMath>
              <m:r>
                <m:t>8.1</m:t>
              </m:r>
              <m:r>
                <m:t>B</m:t>
              </m:r>
              <m:r>
                <m:rPr>
                  <m:sty m:val="p"/>
                </m:rPr>
                <m:t>–</m:t>
              </m:r>
            </m:oMath>
            <w:r>
              <w:t xml:space="preserve">8.2B</w:t>
            </w:r>
          </w:p>
        </w:tc>
        <w:tc>
          <w:tcPr/>
          <w:p>
            <w:pPr>
              <w:pStyle w:val="Compact"/>
              <w:jc w:val="right"/>
            </w:pPr>
            <w:r>
              <w:t xml:space="preserve">Approximately $8.25B</w:t>
            </w:r>
          </w:p>
        </w:tc>
        <w:tc>
          <w:tcPr/>
          <w:p>
            <w:pPr>
              <w:pStyle w:val="Compact"/>
              <w:jc w:val="right"/>
            </w:pPr>
            <w:r>
              <w:t xml:space="preserve">$5.65B</w:t>
            </w:r>
          </w:p>
        </w:tc>
      </w:tr>
      <w:tr>
        <w:tc>
          <w:tcPr/>
          <w:p>
            <w:pPr>
              <w:pStyle w:val="Compact"/>
            </w:pPr>
            <w:r>
              <w:t xml:space="preserve">Adjusted EPS</w:t>
            </w:r>
          </w:p>
        </w:tc>
        <w:tc>
          <w:tcPr/>
          <w:p>
            <w:pPr>
              <w:pStyle w:val="Compact"/>
              <w:jc w:val="right"/>
            </w:pPr>
            <m:oMath>
              <m:r>
                <m:t>1.14</m:t>
              </m:r>
              <m:r>
                <m:rPr>
                  <m:sty m:val="p"/>
                </m:rPr>
                <m:t>–</m:t>
              </m:r>
            </m:oMath>
            <w:r>
              <w:t xml:space="preserve">1.16</w:t>
            </w:r>
          </w:p>
        </w:tc>
        <w:tc>
          <w:tcPr/>
          <w:p>
            <w:pPr>
              <w:pStyle w:val="Compact"/>
              <w:jc w:val="right"/>
            </w:pPr>
            <w:r>
              <w:t xml:space="preserve">Approximately $1.18</w:t>
            </w:r>
          </w:p>
        </w:tc>
        <w:tc>
          <w:tcPr/>
          <w:p>
            <w:pPr>
              <w:pStyle w:val="Compact"/>
              <w:jc w:val="right"/>
            </w:pPr>
            <w:r>
              <w:t xml:space="preserve">$0.81</w:t>
            </w:r>
          </w:p>
        </w:tc>
      </w:tr>
      <w:tr>
        <w:tc>
          <w:tcPr/>
          <w:p>
            <w:pPr>
              <w:pStyle w:val="Compact"/>
            </w:pPr>
            <w:r>
              <w:t xml:space="preserve">Implied year-over-year growth</w:t>
            </w:r>
          </w:p>
        </w:tc>
        <w:tc>
          <w:tcPr/>
          <w:p>
            <w:pPr>
              <w:pStyle w:val="Compact"/>
              <w:jc w:val="right"/>
            </w:pPr>
            <w:r>
              <w:t xml:space="preserve">43%–45% revenue; 41%–43% EPS</w:t>
            </w:r>
          </w:p>
        </w:tc>
        <w:tc>
          <w:tcPr/>
          <w:p>
            <w:pPr>
              <w:pStyle w:val="Compact"/>
              <w:jc w:val="right"/>
            </w:pPr>
            <w:r>
              <w:t xml:space="preserve">Roughly 46% for both</w:t>
            </w:r>
          </w:p>
        </w:tc>
        <w:tc>
          <w:tcPr/>
          <w:p>
            <w:pPr>
              <w:pStyle w:val="Compact"/>
              <w:jc w:val="right"/>
            </w:pPr>
            <w:r>
              <w:t xml:space="preserve">—</w:t>
            </w:r>
          </w:p>
        </w:tc>
      </w:tr>
    </w:tbl>
    <w:p>
      <w:pPr>
        <w:pStyle w:val="BodyText"/>
      </w:pPr>
      <w:r>
        <w:t xml:space="preserve">Management’s guidance was issued on April 29. Current published estimates cluster around</w:t>
      </w:r>
      <w:r>
        <w:t xml:space="preserve"> </w:t>
      </w:r>
      <m:oMath>
        <m:r>
          <m:t>8.24</m:t>
        </m:r>
        <m:r>
          <m:t>b</m:t>
        </m:r>
        <m:r>
          <m:t>i</m:t>
        </m:r>
        <m:r>
          <m:t>l</m:t>
        </m:r>
        <m:r>
          <m:t>l</m:t>
        </m:r>
        <m:r>
          <m:t>i</m:t>
        </m:r>
        <m:r>
          <m:t>o</m:t>
        </m:r>
        <m:r>
          <m:t>n</m:t>
        </m:r>
        <m:r>
          <m:rPr>
            <m:sty m:val="p"/>
          </m:rPr>
          <m:t>–</m:t>
        </m:r>
      </m:oMath>
      <w:r>
        <w:t xml:space="preserve">8.26 billion in revenue and</w:t>
      </w:r>
      <w:r>
        <w:t xml:space="preserve"> </w:t>
      </w:r>
      <m:oMath>
        <m:r>
          <m:t>1.17</m:t>
        </m:r>
        <m:r>
          <m:rPr>
            <m:sty m:val="p"/>
          </m:rPr>
          <m:t>–</m:t>
        </m:r>
      </m:oMath>
      <w:r>
        <w:t xml:space="preserve">1.19 in adjusted EPS, meaning that merely reaching the midpoint of company guidance would likely be viewed as a miss relative to the latest buy-side expectations. (</w:t>
      </w:r>
      <w:hyperlink r:id="rId10">
        <w:r>
          <w:rPr>
            <w:rStyle w:val="Hyperlink"/>
          </w:rPr>
          <w:t xml:space="preserve">investors.amphenol.com</w:t>
        </w:r>
      </w:hyperlink>
      <w:r>
        <w:t xml:space="preserve">)</w:t>
      </w:r>
    </w:p>
    <w:bookmarkEnd w:id="12"/>
    <w:bookmarkStart w:id="19" w:name="what-matters-most"/>
    <w:p>
      <w:pPr>
        <w:pStyle w:val="Heading2"/>
      </w:pPr>
      <w:r>
        <w:t xml:space="preserve">What matters most</w:t>
      </w:r>
    </w:p>
    <w:bookmarkStart w:id="13" w:name="Xce9ea818dc440b2eef9b41eb63b0ae8f1a7152c"/>
    <w:p>
      <w:pPr>
        <w:pStyle w:val="Heading3"/>
      </w:pPr>
      <w:r>
        <w:t xml:space="preserve">1. AI datacom growth and forward visibility</w:t>
      </w:r>
    </w:p>
    <w:p>
      <w:pPr>
        <w:pStyle w:val="FirstParagraph"/>
      </w:pPr>
      <w:r>
        <w:t xml:space="preserve">IT datacom accounted for approximately 41% of first-quarter sales. Revenue in that market increased 81% organically year over year and 16% sequentially, with almost all of the sequential increase coming from AI-related products.</w:t>
      </w:r>
    </w:p>
    <w:p>
      <w:pPr>
        <w:pStyle w:val="BodyText"/>
      </w:pPr>
      <w:r>
        <w:t xml:space="preserve">Management expected another</w:t>
      </w:r>
      <w:r>
        <w:t xml:space="preserve"> </w:t>
      </w:r>
      <w:r>
        <w:rPr>
          <w:b/>
          <w:bCs/>
        </w:rPr>
        <w:t xml:space="preserve">low-teens sequential increase</w:t>
      </w:r>
      <w:r>
        <w:t xml:space="preserve"> </w:t>
      </w:r>
      <w:r>
        <w:t xml:space="preserve">in Q2. Investors should therefore focus on:</w:t>
      </w:r>
    </w:p>
    <w:p>
      <w:pPr>
        <w:pStyle w:val="Compact"/>
        <w:numPr>
          <w:ilvl w:val="0"/>
          <w:numId w:val="1001"/>
        </w:numPr>
      </w:pPr>
      <w:r>
        <w:t xml:space="preserve">Whether IT datacom met or exceeded that outlook.</w:t>
      </w:r>
    </w:p>
    <w:p>
      <w:pPr>
        <w:pStyle w:val="Compact"/>
        <w:numPr>
          <w:ilvl w:val="0"/>
          <w:numId w:val="1001"/>
        </w:numPr>
      </w:pPr>
      <w:r>
        <w:t xml:space="preserve">Orders and backlog for high-speed copper, power and fiber products.</w:t>
      </w:r>
    </w:p>
    <w:p>
      <w:pPr>
        <w:pStyle w:val="Compact"/>
        <w:numPr>
          <w:ilvl w:val="0"/>
          <w:numId w:val="1001"/>
        </w:numPr>
      </w:pPr>
      <w:r>
        <w:t xml:space="preserve">Customer commitments supporting APH’s capacity investments.</w:t>
      </w:r>
    </w:p>
    <w:p>
      <w:pPr>
        <w:pStyle w:val="Compact"/>
        <w:numPr>
          <w:ilvl w:val="0"/>
          <w:numId w:val="1001"/>
        </w:numPr>
      </w:pPr>
      <w:r>
        <w:t xml:space="preserve">Any evidence that hyperscalers are moderating, delaying or reprioritizing spending.</w:t>
      </w:r>
    </w:p>
    <w:p>
      <w:pPr>
        <w:pStyle w:val="Compact"/>
        <w:numPr>
          <w:ilvl w:val="0"/>
          <w:numId w:val="1001"/>
        </w:numPr>
      </w:pPr>
      <w:r>
        <w:t xml:space="preserve">Commentary on next-generation architectures, including active copper, optical interconnect and co-packaged optics.</w:t>
      </w:r>
    </w:p>
    <w:p>
      <w:pPr>
        <w:pStyle w:val="FirstParagraph"/>
      </w:pPr>
      <w:r>
        <w:t xml:space="preserve">The best outcome would be continued strong growth accompanied by durable order visibility. A strong quarter driven primarily by backlog conversion, without equally strong new orders, would be less compelling.</w:t>
      </w:r>
    </w:p>
    <w:bookmarkEnd w:id="13"/>
    <w:bookmarkStart w:id="14" w:name="Xd3ed90520c38a998f2a75fb045bdef9f146c5ac"/>
    <w:p>
      <w:pPr>
        <w:pStyle w:val="Heading3"/>
      </w:pPr>
      <w:r>
        <w:t xml:space="preserve">2. CommScope integration</w:t>
      </w:r>
    </w:p>
    <w:p>
      <w:pPr>
        <w:pStyle w:val="FirstParagraph"/>
      </w:pPr>
      <w:r>
        <w:t xml:space="preserve">Q2 is the first full quarter with the acquired CommScope Connectivity and Cable Solutions business. APH previously expected the operation to contribute roughly</w:t>
      </w:r>
      <w:r>
        <w:t xml:space="preserve"> </w:t>
      </w:r>
      <m:oMath>
        <m:r>
          <m:t>4.1</m:t>
        </m:r>
        <m:r>
          <m:t>b</m:t>
        </m:r>
        <m:r>
          <m:t>i</m:t>
        </m:r>
        <m:r>
          <m:t>l</m:t>
        </m:r>
        <m:r>
          <m:t>l</m:t>
        </m:r>
        <m:r>
          <m:t>i</m:t>
        </m:r>
        <m:r>
          <m:t>o</m:t>
        </m:r>
        <m:r>
          <m:t>n</m:t>
        </m:r>
        <m:r>
          <m:t>o</m:t>
        </m:r>
        <m:r>
          <m:t>f</m:t>
        </m:r>
        <m:r>
          <m:t>2026</m:t>
        </m:r>
        <m:r>
          <m:t>r</m:t>
        </m:r>
        <m:r>
          <m:t>e</m:t>
        </m:r>
        <m:r>
          <m:t>v</m:t>
        </m:r>
        <m:r>
          <m:t>e</m:t>
        </m:r>
        <m:r>
          <m:t>n</m:t>
        </m:r>
        <m:r>
          <m:t>u</m:t>
        </m:r>
        <m:r>
          <m:t>e</m:t>
        </m:r>
        <m:r>
          <m:rPr>
            <m:sty m:val="p"/>
          </m:rPr>
          <m:t>*</m:t>
        </m:r>
        <m:r>
          <m:rPr>
            <m:sty m:val="p"/>
          </m:rPr>
          <m:t>*</m:t>
        </m:r>
        <m:r>
          <m:t>a</m:t>
        </m:r>
        <m:r>
          <m:t>n</m:t>
        </m:r>
        <m:r>
          <m:t>d</m:t>
        </m:r>
        <m:r>
          <m:t>a</m:t>
        </m:r>
        <m:r>
          <m:t>b</m:t>
        </m:r>
        <m:r>
          <m:t>o</m:t>
        </m:r>
        <m:r>
          <m:t>u</m:t>
        </m:r>
        <m:r>
          <m:t>t</m:t>
        </m:r>
        <m:r>
          <m:rPr>
            <m:sty m:val="p"/>
          </m:rPr>
          <m:t>*</m:t>
        </m:r>
        <m:r>
          <m:rPr>
            <m:sty m:val="p"/>
          </m:rPr>
          <m:t>*</m:t>
        </m:r>
      </m:oMath>
      <w:r>
        <w:rPr>
          <w:b/>
          <w:bCs/>
        </w:rPr>
        <w:t xml:space="preserve">0.15 of adjusted EPS accretion</w:t>
      </w:r>
      <w:r>
        <w:t xml:space="preserve">.</w:t>
      </w:r>
    </w:p>
    <w:p>
      <w:pPr>
        <w:pStyle w:val="BodyText"/>
      </w:pPr>
      <w:r>
        <w:t xml:space="preserve">CommScope contributed $871.5 million of revenue from its January 9 acquisition date through March 31. Management said its underlying growth was broadly comparable to APH’s unusually strong organic growth during Q1.</w:t>
      </w:r>
    </w:p>
    <w:p>
      <w:pPr>
        <w:pStyle w:val="BodyText"/>
      </w:pPr>
      <w:r>
        <w:t xml:space="preserve">Investors should watch for:</w:t>
      </w:r>
    </w:p>
    <w:p>
      <w:pPr>
        <w:pStyle w:val="Compact"/>
        <w:numPr>
          <w:ilvl w:val="0"/>
          <w:numId w:val="1002"/>
        </w:numPr>
      </w:pPr>
      <w:r>
        <w:t xml:space="preserve">Whether CommScope remains on or above the $4.1 billion annual revenue trajectory.</w:t>
      </w:r>
    </w:p>
    <w:p>
      <w:pPr>
        <w:pStyle w:val="Compact"/>
        <w:numPr>
          <w:ilvl w:val="0"/>
          <w:numId w:val="1002"/>
        </w:numPr>
      </w:pPr>
      <w:r>
        <w:t xml:space="preserve">Updated EPS accretion expectations.</w:t>
      </w:r>
    </w:p>
    <w:p>
      <w:pPr>
        <w:pStyle w:val="Compact"/>
        <w:numPr>
          <w:ilvl w:val="0"/>
          <w:numId w:val="1002"/>
        </w:numPr>
      </w:pPr>
      <w:r>
        <w:t xml:space="preserve">Progress lifting CommScope’s margins toward the Amphenol average.</w:t>
      </w:r>
    </w:p>
    <w:p>
      <w:pPr>
        <w:pStyle w:val="Compact"/>
        <w:numPr>
          <w:ilvl w:val="0"/>
          <w:numId w:val="1002"/>
        </w:numPr>
      </w:pPr>
      <w:r>
        <w:t xml:space="preserve">Fiber supply availability and capacity additions.</w:t>
      </w:r>
    </w:p>
    <w:p>
      <w:pPr>
        <w:pStyle w:val="Compact"/>
        <w:numPr>
          <w:ilvl w:val="0"/>
          <w:numId w:val="1002"/>
        </w:numPr>
      </w:pPr>
      <w:r>
        <w:t xml:space="preserve">Early cross-selling opportunities across data centers, communications networks and smart-building applications.</w:t>
      </w:r>
    </w:p>
    <w:p>
      <w:pPr>
        <w:pStyle w:val="FirstParagraph"/>
      </w:pPr>
      <w:r>
        <w:t xml:space="preserve">Given the size of the acquisition, the quality of integration will increasingly matter as much as the headline revenue contribution.</w:t>
      </w:r>
    </w:p>
    <w:bookmarkEnd w:id="14"/>
    <w:bookmarkStart w:id="15" w:name="X34694b9ecb6514e7b2006609c747844ce981e70"/>
    <w:p>
      <w:pPr>
        <w:pStyle w:val="Heading3"/>
      </w:pPr>
      <w:r>
        <w:t xml:space="preserve">3. Margin durability</w:t>
      </w:r>
    </w:p>
    <w:p>
      <w:pPr>
        <w:pStyle w:val="FirstParagraph"/>
      </w:pPr>
      <w:r>
        <w:t xml:space="preserve">First-quarter adjusted operating margin of 27.3% was only 20 basis points below Q4’s 27.5%, despite the dilutive effect of CommScope. That was an impressive demonstration of operating leverage.</w:t>
      </w:r>
    </w:p>
    <w:p>
      <w:pPr>
        <w:pStyle w:val="BodyText"/>
      </w:pPr>
      <w:r>
        <w:t xml:space="preserve">A clean Q2 should show adjusted margin holding around the Q1 level—or improving—on higher revenue. The key moving pieces are:</w:t>
      </w:r>
    </w:p>
    <w:p>
      <w:pPr>
        <w:pStyle w:val="Compact"/>
        <w:numPr>
          <w:ilvl w:val="0"/>
          <w:numId w:val="1003"/>
        </w:numPr>
      </w:pPr>
      <w:r>
        <w:t xml:space="preserve">Strong volume leverage from AI datacom, defense and industrial markets.</w:t>
      </w:r>
    </w:p>
    <w:p>
      <w:pPr>
        <w:pStyle w:val="Compact"/>
        <w:numPr>
          <w:ilvl w:val="0"/>
          <w:numId w:val="1003"/>
        </w:numPr>
      </w:pPr>
      <w:r>
        <w:t xml:space="preserve">CommScope’s initially lower profitability.</w:t>
      </w:r>
    </w:p>
    <w:p>
      <w:pPr>
        <w:pStyle w:val="Compact"/>
        <w:numPr>
          <w:ilvl w:val="0"/>
          <w:numId w:val="1003"/>
        </w:numPr>
      </w:pPr>
      <w:r>
        <w:t xml:space="preserve">Pricing versus labor, materials, energy and tariff-related costs.</w:t>
      </w:r>
    </w:p>
    <w:p>
      <w:pPr>
        <w:pStyle w:val="Compact"/>
        <w:numPr>
          <w:ilvl w:val="0"/>
          <w:numId w:val="1003"/>
        </w:numPr>
      </w:pPr>
      <w:r>
        <w:t xml:space="preserve">Capacity spending and startup costs.</w:t>
      </w:r>
    </w:p>
    <w:p>
      <w:pPr>
        <w:pStyle w:val="Compact"/>
        <w:numPr>
          <w:ilvl w:val="0"/>
          <w:numId w:val="1003"/>
        </w:numPr>
      </w:pPr>
      <w:r>
        <w:t xml:space="preserve">Product mix between high-margin organic businesses and acquired revenue.</w:t>
      </w:r>
    </w:p>
    <w:p>
      <w:pPr>
        <w:pStyle w:val="FirstParagraph"/>
      </w:pPr>
      <w:r>
        <w:t xml:space="preserve">A revenue beat accompanied by material margin compression would be lower quality. Conversely, stable or higher margins would strengthen the case that APH can integrate CommScope without sacrificing its historical operating model.</w:t>
      </w:r>
    </w:p>
    <w:bookmarkEnd w:id="15"/>
    <w:bookmarkStart w:id="16" w:name="X1ce9415cbc9a6d9a2d73e8302ebdd9824ba16ae"/>
    <w:p>
      <w:pPr>
        <w:pStyle w:val="Heading3"/>
      </w:pPr>
      <w:r>
        <w:t xml:space="preserve">4. Orders and book-to-bill</w:t>
      </w:r>
    </w:p>
    <w:p>
      <w:pPr>
        <w:pStyle w:val="FirstParagraph"/>
      </w:pPr>
      <w:r>
        <w:t xml:space="preserve">Q1’s 1.24 book-to-bill was exceptionally strong, and every end market had a ratio of at least 1.0. Management noted that some customers had extended their order commitments to support APH’s capacity investments, but it did not characterize the result as generalized lead-time inflation.</w:t>
      </w:r>
    </w:p>
    <w:p>
      <w:pPr>
        <w:pStyle w:val="BodyText"/>
      </w:pPr>
      <w:r>
        <w:t xml:space="preserve">The market will want to determine whether:</w:t>
      </w:r>
    </w:p>
    <w:p>
      <w:pPr>
        <w:pStyle w:val="Compact"/>
        <w:numPr>
          <w:ilvl w:val="0"/>
          <w:numId w:val="1004"/>
        </w:numPr>
      </w:pPr>
      <w:r>
        <w:t xml:space="preserve">Book-to-bill remains comfortably above 1.0.</w:t>
      </w:r>
    </w:p>
    <w:p>
      <w:pPr>
        <w:pStyle w:val="Compact"/>
        <w:numPr>
          <w:ilvl w:val="0"/>
          <w:numId w:val="1004"/>
        </w:numPr>
      </w:pPr>
      <w:r>
        <w:t xml:space="preserve">Order strength remains broad rather than concentrated in a few AI customers.</w:t>
      </w:r>
    </w:p>
    <w:p>
      <w:pPr>
        <w:pStyle w:val="Compact"/>
        <w:numPr>
          <w:ilvl w:val="0"/>
          <w:numId w:val="1004"/>
        </w:numPr>
      </w:pPr>
      <w:r>
        <w:t xml:space="preserve">Customers are double-ordering or simply providing greater long-term visibility.</w:t>
      </w:r>
    </w:p>
    <w:p>
      <w:pPr>
        <w:pStyle w:val="Compact"/>
        <w:numPr>
          <w:ilvl w:val="0"/>
          <w:numId w:val="1004"/>
        </w:numPr>
      </w:pPr>
      <w:r>
        <w:t xml:space="preserve">Defense and industrial bookings can provide a second growth engine alongside AI.</w:t>
      </w:r>
    </w:p>
    <w:p>
      <w:pPr>
        <w:pStyle w:val="FirstParagraph"/>
      </w:pPr>
      <w:r>
        <w:t xml:space="preserve">A moderation from 1.24 would not necessarily be concerning. A sharp decline below 1.0, however, would raise questions about the sustainability of current growth.</w:t>
      </w:r>
    </w:p>
    <w:bookmarkEnd w:id="16"/>
    <w:bookmarkStart w:id="17" w:name="Xa7cc499235534d865ed47fbb298f00827f619c1"/>
    <w:p>
      <w:pPr>
        <w:pStyle w:val="Heading3"/>
      </w:pPr>
      <w:r>
        <w:t xml:space="preserve">5. Performance outside AI</w:t>
      </w:r>
    </w:p>
    <w:p>
      <w:pPr>
        <w:pStyle w:val="FirstParagraph"/>
      </w:pPr>
      <w:r>
        <w:t xml:space="preserve">Management’s Q2 sequential expectations were constructive across most of the portfolio:</w:t>
      </w:r>
    </w:p>
    <w:p>
      <w:pPr>
        <w:pStyle w:val="Compact"/>
        <w:numPr>
          <w:ilvl w:val="0"/>
          <w:numId w:val="1005"/>
        </w:numPr>
      </w:pPr>
      <w:r>
        <w:rPr>
          <w:b/>
          <w:bCs/>
        </w:rPr>
        <w:t xml:space="preserve">Defense:</w:t>
      </w:r>
      <w:r>
        <w:t xml:space="preserve"> </w:t>
      </w:r>
      <w:r>
        <w:t xml:space="preserve">high-single-digit growth.</w:t>
      </w:r>
    </w:p>
    <w:p>
      <w:pPr>
        <w:pStyle w:val="Compact"/>
        <w:numPr>
          <w:ilvl w:val="0"/>
          <w:numId w:val="1005"/>
        </w:numPr>
      </w:pPr>
      <w:r>
        <w:rPr>
          <w:b/>
          <w:bCs/>
        </w:rPr>
        <w:t xml:space="preserve">Industrial:</w:t>
      </w:r>
      <w:r>
        <w:t xml:space="preserve"> </w:t>
      </w:r>
      <w:r>
        <w:t xml:space="preserve">high-single-digit growth.</w:t>
      </w:r>
    </w:p>
    <w:p>
      <w:pPr>
        <w:pStyle w:val="Compact"/>
        <w:numPr>
          <w:ilvl w:val="0"/>
          <w:numId w:val="1005"/>
        </w:numPr>
      </w:pPr>
      <w:r>
        <w:rPr>
          <w:b/>
          <w:bCs/>
        </w:rPr>
        <w:t xml:space="preserve">Automotive:</w:t>
      </w:r>
      <w:r>
        <w:t xml:space="preserve"> </w:t>
      </w:r>
      <w:r>
        <w:t xml:space="preserve">modest growth.</w:t>
      </w:r>
    </w:p>
    <w:p>
      <w:pPr>
        <w:pStyle w:val="Compact"/>
        <w:numPr>
          <w:ilvl w:val="0"/>
          <w:numId w:val="1005"/>
        </w:numPr>
      </w:pPr>
      <w:r>
        <w:rPr>
          <w:b/>
          <w:bCs/>
        </w:rPr>
        <w:t xml:space="preserve">Communications networks:</w:t>
      </w:r>
      <w:r>
        <w:t xml:space="preserve"> </w:t>
      </w:r>
      <w:r>
        <w:t xml:space="preserve">approximately flat.</w:t>
      </w:r>
    </w:p>
    <w:p>
      <w:pPr>
        <w:pStyle w:val="Compact"/>
        <w:numPr>
          <w:ilvl w:val="0"/>
          <w:numId w:val="1005"/>
        </w:numPr>
      </w:pPr>
      <w:r>
        <w:rPr>
          <w:b/>
          <w:bCs/>
        </w:rPr>
        <w:t xml:space="preserve">Commercial aerospace:</w:t>
      </w:r>
      <w:r>
        <w:t xml:space="preserve"> </w:t>
      </w:r>
      <w:r>
        <w:t xml:space="preserve">slight moderation.</w:t>
      </w:r>
    </w:p>
    <w:p>
      <w:pPr>
        <w:pStyle w:val="Compact"/>
        <w:numPr>
          <w:ilvl w:val="0"/>
          <w:numId w:val="1005"/>
        </w:numPr>
      </w:pPr>
      <w:r>
        <w:rPr>
          <w:b/>
          <w:bCs/>
        </w:rPr>
        <w:t xml:space="preserve">Mobile devices:</w:t>
      </w:r>
      <w:r>
        <w:t xml:space="preserve"> </w:t>
      </w:r>
      <w:r>
        <w:t xml:space="preserve">modest seasonal decline.</w:t>
      </w:r>
    </w:p>
    <w:p>
      <w:pPr>
        <w:pStyle w:val="Compact"/>
        <w:numPr>
          <w:ilvl w:val="0"/>
          <w:numId w:val="1005"/>
        </w:numPr>
      </w:pPr>
      <w:r>
        <w:rPr>
          <w:b/>
          <w:bCs/>
        </w:rPr>
        <w:t xml:space="preserve">IT datacom:</w:t>
      </w:r>
      <w:r>
        <w:t xml:space="preserve"> </w:t>
      </w:r>
      <w:r>
        <w:t xml:space="preserve">low-teens growth.</w:t>
      </w:r>
    </w:p>
    <w:p>
      <w:pPr>
        <w:pStyle w:val="FirstParagraph"/>
      </w:pPr>
      <w:r>
        <w:t xml:space="preserve">Defense and industrial are particularly important. Strong results there would demonstrate that APH’s earnings momentum is not solely dependent on AI capital spending.</w:t>
      </w:r>
    </w:p>
    <w:bookmarkEnd w:id="17"/>
    <w:bookmarkStart w:id="18" w:name="Xe0d5b28c2192d22d1b34d6bcd03af475ea08e87"/>
    <w:p>
      <w:pPr>
        <w:pStyle w:val="Heading3"/>
      </w:pPr>
      <w:r>
        <w:t xml:space="preserve">6. Cash flow, debt and tax rate</w:t>
      </w:r>
    </w:p>
    <w:p>
      <w:pPr>
        <w:pStyle w:val="FirstParagraph"/>
      </w:pPr>
      <w:r>
        <w:t xml:space="preserve">First-quarter free cash flow was $831 million, versus adjusted net income of $1.37 billion. Cash conversion is typically softer in Q1, but working-capital needs have increased alongside APH’s rapid growth.</w:t>
      </w:r>
    </w:p>
    <w:p>
      <w:pPr>
        <w:pStyle w:val="BodyText"/>
      </w:pPr>
      <w:r>
        <w:t xml:space="preserve">The CommScope transaction also raised total debt to $18.7 billion and net debt to approximately $14.2 billion at the end of Q1, although net leverage remained manageable at 1.6 times EBITDA. In May, APH issued €1.1 billion of longer-term notes to repay commercial paper and part of its 364-day term loan.</w:t>
      </w:r>
    </w:p>
    <w:p>
      <w:pPr>
        <w:pStyle w:val="BodyText"/>
      </w:pPr>
      <w:r>
        <w:t xml:space="preserve">Important items include:</w:t>
      </w:r>
    </w:p>
    <w:p>
      <w:pPr>
        <w:pStyle w:val="Compact"/>
        <w:numPr>
          <w:ilvl w:val="0"/>
          <w:numId w:val="1006"/>
        </w:numPr>
      </w:pPr>
      <w:r>
        <w:t xml:space="preserve">Improvement in free-cash-flow conversion.</w:t>
      </w:r>
    </w:p>
    <w:p>
      <w:pPr>
        <w:pStyle w:val="Compact"/>
        <w:numPr>
          <w:ilvl w:val="0"/>
          <w:numId w:val="1006"/>
        </w:numPr>
      </w:pPr>
      <w:r>
        <w:t xml:space="preserve">Inventory and receivables as production scales.</w:t>
      </w:r>
    </w:p>
    <w:p>
      <w:pPr>
        <w:pStyle w:val="Compact"/>
        <w:numPr>
          <w:ilvl w:val="0"/>
          <w:numId w:val="1006"/>
        </w:numPr>
      </w:pPr>
      <w:r>
        <w:t xml:space="preserve">The pace of debt reduction.</w:t>
      </w:r>
    </w:p>
    <w:p>
      <w:pPr>
        <w:pStyle w:val="Compact"/>
        <w:numPr>
          <w:ilvl w:val="0"/>
          <w:numId w:val="1006"/>
        </w:numPr>
      </w:pPr>
      <w:r>
        <w:t xml:space="preserve">Confirmation of approximately $200 million in quarterly net interest expense.</w:t>
      </w:r>
    </w:p>
    <w:p>
      <w:pPr>
        <w:pStyle w:val="Compact"/>
        <w:numPr>
          <w:ilvl w:val="0"/>
          <w:numId w:val="1006"/>
        </w:numPr>
      </w:pPr>
      <w:r>
        <w:t xml:space="preserve">Confirmation that the adjusted tax rate remains near 27%.</w:t>
      </w:r>
    </w:p>
    <w:bookmarkEnd w:id="18"/>
    <w:bookmarkEnd w:id="19"/>
    <w:bookmarkStart w:id="24" w:name="valuation-and-reaction-function"/>
    <w:p>
      <w:pPr>
        <w:pStyle w:val="Heading2"/>
      </w:pPr>
      <w:r>
        <w:t xml:space="preserve">Valuation and reaction function</w:t>
      </w:r>
    </w:p>
    <w:p>
      <w:pPr>
        <w:pStyle w:val="FirstParagraph"/>
      </w:pPr>
      <w:r>
        <w:t xml:space="preserve">APH closed July 28 near $144 and trades around</w:t>
      </w:r>
      <w:r>
        <w:t xml:space="preserve"> </w:t>
      </w:r>
      <w:r>
        <w:rPr>
          <w:b/>
          <w:bCs/>
        </w:rPr>
        <w:t xml:space="preserve">40 times trailing earnings</w:t>
      </w:r>
      <w:r>
        <w:t xml:space="preserve">, so the valuation still anticipates sustained premium growth despite the recent stock-price pullback. (</w:t>
      </w:r>
      <w:hyperlink r:id="rId20">
        <w:r>
          <w:rPr>
            <w:rStyle w:val="Hyperlink"/>
          </w:rPr>
          <w:t xml:space="preserve">marketbeat.com</w:t>
        </w:r>
      </w:hyperlink>
      <w:r>
        <w:t xml:space="preserve">)</w:t>
      </w:r>
    </w:p>
    <w:p>
      <w:pPr>
        <w:pStyle w:val="BodyText"/>
      </w:pPr>
      <w:r>
        <w:t xml:space="preserve">That creates an asymmetric setup:</w:t>
      </w:r>
    </w:p>
    <w:bookmarkStart w:id="21" w:name="bullish-outcome"/>
    <w:p>
      <w:pPr>
        <w:pStyle w:val="Heading3"/>
      </w:pPr>
      <w:r>
        <w:t xml:space="preserve">Bullish outcome</w:t>
      </w:r>
    </w:p>
    <w:p>
      <w:pPr>
        <w:pStyle w:val="Compact"/>
        <w:numPr>
          <w:ilvl w:val="0"/>
          <w:numId w:val="1007"/>
        </w:numPr>
      </w:pPr>
      <w:r>
        <w:t xml:space="preserve">Revenue above roughly $8.3 billion.</w:t>
      </w:r>
    </w:p>
    <w:p>
      <w:pPr>
        <w:pStyle w:val="Compact"/>
        <w:numPr>
          <w:ilvl w:val="0"/>
          <w:numId w:val="1007"/>
        </w:numPr>
      </w:pPr>
      <w:r>
        <w:t xml:space="preserve">Adjusted EPS of at least $1.20.</w:t>
      </w:r>
    </w:p>
    <w:p>
      <w:pPr>
        <w:pStyle w:val="Compact"/>
        <w:numPr>
          <w:ilvl w:val="0"/>
          <w:numId w:val="1007"/>
        </w:numPr>
      </w:pPr>
      <w:r>
        <w:t xml:space="preserve">Adjusted margin at or above the Q1 level.</w:t>
      </w:r>
    </w:p>
    <w:p>
      <w:pPr>
        <w:pStyle w:val="Compact"/>
        <w:numPr>
          <w:ilvl w:val="0"/>
          <w:numId w:val="1007"/>
        </w:numPr>
      </w:pPr>
      <w:r>
        <w:t xml:space="preserve">Continued strong AI orders and book-to-bill comfortably above 1.0.</w:t>
      </w:r>
    </w:p>
    <w:p>
      <w:pPr>
        <w:pStyle w:val="Compact"/>
        <w:numPr>
          <w:ilvl w:val="0"/>
          <w:numId w:val="1007"/>
        </w:numPr>
      </w:pPr>
      <w:r>
        <w:t xml:space="preserve">CommScope accretion raised or integration tracking ahead of plan.</w:t>
      </w:r>
    </w:p>
    <w:p>
      <w:pPr>
        <w:pStyle w:val="Compact"/>
        <w:numPr>
          <w:ilvl w:val="0"/>
          <w:numId w:val="1007"/>
        </w:numPr>
      </w:pPr>
      <w:r>
        <w:t xml:space="preserve">Q3 guidance showing continued sequential growth.</w:t>
      </w:r>
    </w:p>
    <w:bookmarkEnd w:id="21"/>
    <w:bookmarkStart w:id="22" w:name="neutral-outcome"/>
    <w:p>
      <w:pPr>
        <w:pStyle w:val="Heading3"/>
      </w:pPr>
      <w:r>
        <w:t xml:space="preserve">Neutral outcome</w:t>
      </w:r>
    </w:p>
    <w:p>
      <w:pPr>
        <w:pStyle w:val="Compact"/>
        <w:numPr>
          <w:ilvl w:val="0"/>
          <w:numId w:val="1008"/>
        </w:numPr>
      </w:pPr>
      <w:r>
        <w:t xml:space="preserve">A modest beat versus company guidance but results close to consensus.</w:t>
      </w:r>
    </w:p>
    <w:p>
      <w:pPr>
        <w:pStyle w:val="Compact"/>
        <w:numPr>
          <w:ilvl w:val="0"/>
          <w:numId w:val="1008"/>
        </w:numPr>
      </w:pPr>
      <w:r>
        <w:t xml:space="preserve">Book-to-bill normalizes while remaining above 1.0.</w:t>
      </w:r>
    </w:p>
    <w:p>
      <w:pPr>
        <w:pStyle w:val="Compact"/>
        <w:numPr>
          <w:ilvl w:val="0"/>
          <w:numId w:val="1008"/>
        </w:numPr>
      </w:pPr>
      <w:r>
        <w:t xml:space="preserve">Margins remain stable.</w:t>
      </w:r>
    </w:p>
    <w:p>
      <w:pPr>
        <w:pStyle w:val="Compact"/>
        <w:numPr>
          <w:ilvl w:val="0"/>
          <w:numId w:val="1008"/>
        </w:numPr>
      </w:pPr>
      <w:r>
        <w:t xml:space="preserve">Q3 guidance is solid but does not require estimate revisions.</w:t>
      </w:r>
    </w:p>
    <w:p>
      <w:pPr>
        <w:pStyle w:val="FirstParagraph"/>
      </w:pPr>
      <w:r>
        <w:t xml:space="preserve">Given the Street’s expectations, this could still produce a muted stock reaction.</w:t>
      </w:r>
    </w:p>
    <w:bookmarkEnd w:id="22"/>
    <w:bookmarkStart w:id="23" w:name="bearish-outcome"/>
    <w:p>
      <w:pPr>
        <w:pStyle w:val="Heading3"/>
      </w:pPr>
      <w:r>
        <w:t xml:space="preserve">Bearish outcome</w:t>
      </w:r>
    </w:p>
    <w:p>
      <w:pPr>
        <w:pStyle w:val="Compact"/>
        <w:numPr>
          <w:ilvl w:val="0"/>
          <w:numId w:val="1009"/>
        </w:numPr>
      </w:pPr>
      <w:r>
        <w:t xml:space="preserve">Revenue or EPS merely within the original guidance range.</w:t>
      </w:r>
    </w:p>
    <w:p>
      <w:pPr>
        <w:pStyle w:val="Compact"/>
        <w:numPr>
          <w:ilvl w:val="0"/>
          <w:numId w:val="1009"/>
        </w:numPr>
      </w:pPr>
      <w:r>
        <w:t xml:space="preserve">AI datacom growth falls short of the expected low-teens sequential increase.</w:t>
      </w:r>
    </w:p>
    <w:p>
      <w:pPr>
        <w:pStyle w:val="Compact"/>
        <w:numPr>
          <w:ilvl w:val="0"/>
          <w:numId w:val="1009"/>
        </w:numPr>
      </w:pPr>
      <w:r>
        <w:t xml:space="preserve">Material margin dilution from CommScope.</w:t>
      </w:r>
    </w:p>
    <w:p>
      <w:pPr>
        <w:pStyle w:val="Compact"/>
        <w:numPr>
          <w:ilvl w:val="0"/>
          <w:numId w:val="1009"/>
        </w:numPr>
      </w:pPr>
      <w:r>
        <w:t xml:space="preserve">Orders decline sharply or book-to-bill falls below 1.0.</w:t>
      </w:r>
    </w:p>
    <w:p>
      <w:pPr>
        <w:pStyle w:val="Compact"/>
        <w:numPr>
          <w:ilvl w:val="0"/>
          <w:numId w:val="1009"/>
        </w:numPr>
      </w:pPr>
      <w:r>
        <w:t xml:space="preserve">Management signals customer digestion, capacity constraints or slower Q3 growth.</w:t>
      </w:r>
    </w:p>
    <w:bookmarkEnd w:id="23"/>
    <w:bookmarkEnd w:id="24"/>
    <w:bookmarkStart w:id="25" w:name="bottom-line"/>
    <w:p>
      <w:pPr>
        <w:pStyle w:val="Heading2"/>
      </w:pPr>
      <w:r>
        <w:t xml:space="preserve">Bottom line</w:t>
      </w:r>
    </w:p>
    <w:p>
      <w:pPr>
        <w:pStyle w:val="FirstParagraph"/>
      </w:pPr>
      <w:r>
        <w:t xml:space="preserve">The most important number may not be Q2 EPS. Investors already expect APH to exceed its original guidance. The decisive issues are likely to be</w:t>
      </w:r>
      <w:r>
        <w:t xml:space="preserve"> </w:t>
      </w:r>
      <w:r>
        <w:rPr>
          <w:b/>
          <w:bCs/>
        </w:rPr>
        <w:t xml:space="preserve">AI order durability, CommScope margin progress and the Q3 outlook</w:t>
      </w:r>
      <w:r>
        <w:t xml:space="preserve">.</w:t>
      </w:r>
    </w:p>
    <w:p>
      <w:pPr>
        <w:pStyle w:val="BodyText"/>
      </w:pPr>
      <w:r>
        <w:t xml:space="preserve">A clean beat with stable margins and continued book-to-bill strength would support the view that APH is becoming a broader, higher-content supplier to AI data centers without compromising its operating discipline. A guide-range result—or a beat driven by backlog conversion without strong new orders—would probably be insufficient for a stock carrying a premium valuation.</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amphenol.com/news-and-events/events/event-details/2026/2nd-Quarter-2026-Earnings-2026-vSdZ9Zxy8Q/default.aspx" TargetMode="External" /><Relationship Type="http://schemas.openxmlformats.org/officeDocument/2006/relationships/hyperlink" Id="rId10" Target="https://investors.amphenol.com/news-and-events/news-details/2026/Amphenol-Reports-Record-First-Quarter-2026-Results/default.aspx" TargetMode="External" /><Relationship Type="http://schemas.openxmlformats.org/officeDocument/2006/relationships/hyperlink" Id="rId20" Target="https://www.marketbeat.com/earnings/reports/2026-7-29-amphenol-co-stock/"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amphenol.com/news-and-events/events/event-details/2026/2nd-Quarter-2026-Earnings-2026-vSdZ9Zxy8Q/default.aspx" TargetMode="External" /><Relationship Type="http://schemas.openxmlformats.org/officeDocument/2006/relationships/hyperlink" Id="rId10" Target="https://investors.amphenol.com/news-and-events/news-details/2026/Amphenol-Reports-Record-First-Quarter-2026-Results/default.aspx" TargetMode="External" /><Relationship Type="http://schemas.openxmlformats.org/officeDocument/2006/relationships/hyperlink" Id="rId20" Target="https://www.marketbeat.com/earnings/reports/2026-7-29-amphenol-co-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2026-07-29T01:13:42Z</dcterms:created>
  <dcterms:modified xsi:type="dcterms:W3CDTF">2026-07-29T01:13:42Z</dcterms:modified>
</cp:coreProperties>
</file>

<file path=docProps/custom.xml><?xml version="1.0" encoding="utf-8"?>
<Properties xmlns="http://schemas.openxmlformats.org/officeDocument/2006/custom-properties" xmlns:vt="http://schemas.openxmlformats.org/officeDocument/2006/docPropsVTypes"/>
</file>