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6489126841ce6c55a381a46e22b4140843f197"/>
    <w:p>
      <w:pPr>
        <w:pStyle w:val="Heading1"/>
      </w:pPr>
      <w:r>
        <w:t xml:space="preserve">Amphenol (NYSE: APH) — Q2 2026 Earnings Preview</w:t>
      </w:r>
    </w:p>
    <w:p>
      <w:pPr>
        <w:pStyle w:val="BlockText"/>
      </w:pPr>
      <w:r>
        <w:rPr>
          <w:b/>
          <w:bCs/>
        </w:rPr>
        <w:t xml:space="preserve">Date note:</w:t>
      </w:r>
      <w:r>
        <w:t xml:space="preserve"> </w:t>
      </w:r>
      <w:r>
        <w:t xml:space="preserve">The event date supplied is</w:t>
      </w:r>
      <w:r>
        <w:t xml:space="preserve"> </w:t>
      </w:r>
      <w:r>
        <w:rPr>
          <w:b/>
          <w:bCs/>
        </w:rPr>
        <w:t xml:space="preserve">Wednesday, July 29, 2026</w:t>
      </w:r>
      <w:r>
        <w:t xml:space="preserve">—which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is therefore framed for the report due today.</w:t>
      </w:r>
    </w:p>
    <w:bookmarkStart w:id="9" w:name="investment-framing"/>
    <w:p>
      <w:pPr>
        <w:pStyle w:val="Heading2"/>
      </w:pPr>
      <w:r>
        <w:t xml:space="preserve">Investment framing</w:t>
      </w:r>
    </w:p>
    <w:p>
      <w:pPr>
        <w:pStyle w:val="FirstParagraph"/>
      </w:pPr>
      <w:r>
        <w:t xml:space="preserve">Amphenol enters Q2 with unusually strong operational momentum, but also a high bar. The central issue is no longer whether the company is growing: it is whether the</w:t>
      </w:r>
      <w:r>
        <w:t xml:space="preserve"> </w:t>
      </w:r>
      <w:r>
        <w:rPr>
          <w:b/>
          <w:bCs/>
        </w:rPr>
        <w:t xml:space="preserve">AI/data-center interconnect cycle, newly acquired CommScope assets, and broad industrial/defense strength</w:t>
      </w:r>
      <w:r>
        <w:t xml:space="preserve"> </w:t>
      </w:r>
      <w:r>
        <w:t xml:space="preserve">can support another material upside versus management’s already aggressive outlook—while sustaining industry-leading margins and beginning to demonstrate deleveraging capacity.</w:t>
      </w:r>
    </w:p>
    <w:p>
      <w:pPr>
        <w:pStyle w:val="BodyText"/>
      </w:pPr>
      <w:r>
        <w:t xml:space="preserve">Management’s Q2 guide calls for: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Q2 2026 management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$8.10B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$8.15B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$8.20B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$1.14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$1.16B</w:t>
            </w:r>
          </w:p>
        </w:tc>
      </w:tr>
    </w:tbl>
    <w:p>
      <w:pPr>
        <w:pStyle w:val="BodyText"/>
      </w:pPr>
      <w:r>
        <w:t xml:space="preserve">At the midpoint, guidance implies approximately</w:t>
      </w:r>
      <w:r>
        <w:t xml:space="preserve"> </w:t>
      </w:r>
      <w:r>
        <w:rPr>
          <w:b/>
          <w:bCs/>
        </w:rPr>
        <w:t xml:space="preserve">44% year-over-year revenue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42% adjusted EPS growth</w:t>
      </w:r>
      <w:r>
        <w:t xml:space="preserve">, or roughly $5.66B of Q2 2025 revenue and $0.81 of prior-year adjusted EPS. The report needs to be evaluated less on the headline year-over-year growth—helped significantly by acquisitions—and more on</w:t>
      </w:r>
      <w:r>
        <w:t xml:space="preserve"> </w:t>
      </w:r>
      <w:r>
        <w:rPr>
          <w:b/>
          <w:bCs/>
        </w:rPr>
        <w:t xml:space="preserve">organic growth, IT datacom demand, bookings, and the Q3 outlook</w:t>
      </w:r>
      <w:r>
        <w:t xml:space="preserve">.</w:t>
      </w:r>
    </w:p>
    <w:bookmarkEnd w:id="9"/>
    <w:bookmarkStart w:id="12" w:name="what-matters-most"/>
    <w:p>
      <w:pPr>
        <w:pStyle w:val="Heading2"/>
      </w:pPr>
      <w:r>
        <w:t xml:space="preserve">What matters most</w:t>
      </w:r>
    </w:p>
    <w:bookmarkStart w:id="10" w:name="Xb627f0791d79abce0027cc11747f0de9287dfb6"/>
    <w:p>
      <w:pPr>
        <w:pStyle w:val="Heading3"/>
      </w:pPr>
      <w:r>
        <w:t xml:space="preserve">1. AI-driven IT datacom is the key swing factor</w:t>
      </w:r>
    </w:p>
    <w:p>
      <w:pPr>
        <w:pStyle w:val="FirstParagraph"/>
      </w:pPr>
      <w:r>
        <w:t xml:space="preserve">IT datacom represented</w:t>
      </w:r>
      <w:r>
        <w:t xml:space="preserve"> </w:t>
      </w:r>
      <w:r>
        <w:rPr>
          <w:b/>
          <w:bCs/>
        </w:rPr>
        <w:t xml:space="preserve">41% of Q1 sales</w:t>
      </w:r>
      <w:r>
        <w:t xml:space="preserve">, making it by far the largest end market and the principal determinant of near-term earnings power. In Q1, IT datacom revenue rose</w:t>
      </w:r>
      <w:r>
        <w:t xml:space="preserve"> </w:t>
      </w:r>
      <w:r>
        <w:rPr>
          <w:b/>
          <w:bCs/>
        </w:rPr>
        <w:t xml:space="preserve">99% reported and 81% organically</w:t>
      </w:r>
      <w:r>
        <w:t xml:space="preserve">, with management saying essentially all sequential organic growth came from AI-related products.</w:t>
      </w:r>
    </w:p>
    <w:p>
      <w:pPr>
        <w:pStyle w:val="BodyText"/>
      </w:pPr>
      <w:r>
        <w:t xml:space="preserve">For Q2, management guided IT datacom revenue to rise by a</w:t>
      </w:r>
      <w:r>
        <w:t xml:space="preserve"> </w:t>
      </w:r>
      <w:r>
        <w:rPr>
          <w:b/>
          <w:bCs/>
        </w:rPr>
        <w:t xml:space="preserve">low-teens percentage sequentially</w:t>
      </w:r>
      <w:r>
        <w:t xml:space="preserve">. That is the most important operational target in the quarter.</w:t>
      </w:r>
    </w:p>
    <w:p>
      <w:pPr>
        <w:pStyle w:val="BodyText"/>
      </w:pPr>
      <w:r>
        <w:rPr>
          <w:b/>
          <w:bCs/>
        </w:rPr>
        <w:t xml:space="preserve">What investors should watch:</w:t>
      </w:r>
    </w:p>
    <w:p>
      <w:pPr>
        <w:pStyle w:val="Compact"/>
        <w:numPr>
          <w:ilvl w:val="0"/>
          <w:numId w:val="1001"/>
        </w:numPr>
      </w:pPr>
      <w:r>
        <w:t xml:space="preserve">Whether IT datacom growth meets or exceeds the low-teens sequential guide.</w:t>
      </w:r>
    </w:p>
    <w:p>
      <w:pPr>
        <w:pStyle w:val="Compact"/>
        <w:numPr>
          <w:ilvl w:val="0"/>
          <w:numId w:val="1001"/>
        </w:numPr>
      </w:pPr>
      <w:r>
        <w:t xml:space="preserve">Commentary on hyperscaler and AI-system customer demand, capacity commitments, order visibility, and lead times.</w:t>
      </w:r>
    </w:p>
    <w:p>
      <w:pPr>
        <w:pStyle w:val="Compact"/>
        <w:numPr>
          <w:ilvl w:val="0"/>
          <w:numId w:val="1001"/>
        </w:numPr>
      </w:pPr>
      <w:r>
        <w:t xml:space="preserve">Whether demand remains broad across copper, active copper, power, fiber, and optical interconnect—not simply concentrated in one program or architecture.</w:t>
      </w:r>
    </w:p>
    <w:p>
      <w:pPr>
        <w:pStyle w:val="Compact"/>
        <w:numPr>
          <w:ilvl w:val="0"/>
          <w:numId w:val="1001"/>
        </w:numPr>
      </w:pPr>
      <w:r>
        <w:t xml:space="preserve">Management’s read on future architectures, including optical adoption and co-packaged optics. The company’s strategic message has been that AI systems should require “more interconnect” regardless of the eventual mix of copper and optics; the durability of that thesis is important.</w:t>
      </w:r>
    </w:p>
    <w:p>
      <w:pPr>
        <w:pStyle w:val="FirstParagraph"/>
      </w:pPr>
      <w:r>
        <w:t xml:space="preserve">The setup is complicated by a late-July risk-off move in AI-related equities. APH closed July 28 at</w:t>
      </w:r>
      <w:r>
        <w:t xml:space="preserve"> </w:t>
      </w:r>
      <w:r>
        <w:rPr>
          <w:b/>
          <w:bCs/>
        </w:rPr>
        <w:t xml:space="preserve">$143.88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18% from its June 30 closing high of $176.32</w:t>
      </w:r>
      <w:r>
        <w:t xml:space="preserve">, though still about</w:t>
      </w:r>
      <w:r>
        <w:t xml:space="preserve"> </w:t>
      </w:r>
      <w:r>
        <w:rPr>
          <w:b/>
          <w:bCs/>
        </w:rPr>
        <w:t xml:space="preserve">3% above</w:t>
      </w:r>
      <w:r>
        <w:t xml:space="preserve"> </w:t>
      </w:r>
      <w:r>
        <w:t xml:space="preserve">its January 2 close. That pullback can lower the valuation hurdle, but it also means investors are likely scrutinizing any evidence that AI capex demand is cooling.</w:t>
      </w:r>
    </w:p>
    <w:bookmarkEnd w:id="10"/>
    <w:bookmarkStart w:id="11" w:name="X005afb8558e9bdabd965561a1bf81a3039f3f38"/>
    <w:p>
      <w:pPr>
        <w:pStyle w:val="Heading3"/>
      </w:pPr>
      <w:r>
        <w:t xml:space="preserve">2. CommScope execution needs to translate from promise to evidence</w:t>
      </w:r>
    </w:p>
    <w:p>
      <w:pPr>
        <w:pStyle w:val="FirstParagraph"/>
      </w:pPr>
      <w:r>
        <w:t xml:space="preserve">The January acquisition of CommScope’s Connectivity and Cable Solutions business transformed Amphenol’s communications portfolio. The business contributed</w:t>
      </w:r>
      <w:r>
        <w:t xml:space="preserve"> </w:t>
      </w:r>
      <m:oMath>
        <m:r>
          <m:t>871.5</m:t>
        </m:r>
        <m:r>
          <m:t>M</m:t>
        </m:r>
        <m:r>
          <m:t>o</m:t>
        </m:r>
        <m:r>
          <m:t>f</m:t>
        </m:r>
        <m:r>
          <m:t>Q</m:t>
        </m:r>
        <m:r>
          <m:t>1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c</m:t>
        </m:r>
        <m:r>
          <m:t>l</m:t>
        </m:r>
        <m:r>
          <m:t>o</m:t>
        </m:r>
        <m:r>
          <m:t>s</m:t>
        </m:r>
        <m:r>
          <m:t>i</m:t>
        </m:r>
        <m:r>
          <m:t>n</m:t>
        </m:r>
        <m:r>
          <m:t>g</m:t>
        </m:r>
        <m:r>
          <m:t>o</m:t>
        </m:r>
        <m:r>
          <m:t>n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9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h</m:t>
        </m:r>
        <m:r>
          <m:t>a</m:t>
        </m:r>
        <m:r>
          <m:t>s</m:t>
        </m:r>
        <m:r>
          <m:t>s</m:t>
        </m:r>
        <m:r>
          <m:t>a</m:t>
        </m:r>
        <m:r>
          <m:t>i</m:t>
        </m:r>
        <m:r>
          <m:t>d</m:t>
        </m:r>
        <m:r>
          <m:t>i</m:t>
        </m:r>
        <m:r>
          <m:t>t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4.1B of 2026 sales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$0.15 of annual EPS accretion</w:t>
      </w:r>
      <w:r>
        <w:t xml:space="preserve">.</w:t>
      </w:r>
    </w:p>
    <w:p>
      <w:pPr>
        <w:pStyle w:val="BodyText"/>
      </w:pPr>
      <w:r>
        <w:t xml:space="preserve">The acquisition adds fiber-optic interconnect and cable exposure in data centers and communications networks, alongside building-connectivity products. It also expands Amphenol’s position from connections within racks into rack-to-rack and broader data-center connectivity.</w:t>
      </w:r>
    </w:p>
    <w:p>
      <w:pPr>
        <w:pStyle w:val="BodyText"/>
      </w:pPr>
      <w:r>
        <w:t xml:space="preserve">Q2 will be the first cleaner quarter for assessing the asset because it contains a full quarter of ownership and should carry much lower purchase-accounting friction than Q1.</w:t>
      </w:r>
    </w:p>
    <w:p>
      <w:pPr>
        <w:pStyle w:val="BodyText"/>
      </w:pPr>
      <w:r>
        <w:rPr>
          <w:b/>
          <w:bCs/>
        </w:rPr>
        <w:t xml:space="preserve">Key questions:</w:t>
      </w:r>
    </w:p>
    <w:p>
      <w:pPr>
        <w:pStyle w:val="Compact"/>
        <w:numPr>
          <w:ilvl w:val="0"/>
          <w:numId w:val="1002"/>
        </w:numPr>
      </w:pPr>
      <w:r>
        <w:t xml:space="preserve">Is CommScope still growing faster than the mid-teens growth rate initially contemplated at deal announcement?</w:t>
      </w:r>
    </w:p>
    <w:p>
      <w:pPr>
        <w:pStyle w:val="Compact"/>
        <w:numPr>
          <w:ilvl w:val="0"/>
          <w:numId w:val="1002"/>
        </w:numPr>
      </w:pPr>
      <w:r>
        <w:t xml:space="preserve">Is fiber availability or other supply-chain capacity constraining shipments?</w:t>
      </w:r>
    </w:p>
    <w:p>
      <w:pPr>
        <w:pStyle w:val="Compact"/>
        <w:numPr>
          <w:ilvl w:val="0"/>
          <w:numId w:val="1002"/>
        </w:numPr>
      </w:pPr>
      <w:r>
        <w:t xml:space="preserve">Are margins improving as Amphenol applies its operating model?</w:t>
      </w:r>
    </w:p>
    <w:p>
      <w:pPr>
        <w:pStyle w:val="Compact"/>
        <w:numPr>
          <w:ilvl w:val="0"/>
          <w:numId w:val="1002"/>
        </w:numPr>
      </w:pPr>
      <w:r>
        <w:t xml:space="preserve">Is the building-connectivity business creating cross-sell opportunities in sensors, antennas, and broader industrial interconnect?</w:t>
      </w:r>
    </w:p>
    <w:p>
      <w:pPr>
        <w:pStyle w:val="Compact"/>
        <w:numPr>
          <w:ilvl w:val="0"/>
          <w:numId w:val="1002"/>
        </w:numPr>
      </w:pPr>
      <w:r>
        <w:t xml:space="preserve">Does management reiterate its $4.1B sales and $0.15 EPS-accretion expectations?</w:t>
      </w:r>
    </w:p>
    <w:bookmarkEnd w:id="11"/>
    <w:bookmarkEnd w:id="12"/>
    <w:bookmarkStart w:id="13" w:name="X1486867c74b48910266305fa1c0caf7e279d675"/>
    <w:p>
      <w:pPr>
        <w:pStyle w:val="Heading2"/>
      </w:pPr>
      <w:r>
        <w:t xml:space="preserve">Margin quality: likely more important than the headline beat</w:t>
      </w:r>
    </w:p>
    <w:p>
      <w:pPr>
        <w:pStyle w:val="FirstParagraph"/>
      </w:pPr>
      <w:r>
        <w:t xml:space="preserve">Q1 adjusted operating margin was an exceptional</w:t>
      </w:r>
      <w:r>
        <w:t xml:space="preserve"> </w:t>
      </w:r>
      <w:r>
        <w:rPr>
          <w:b/>
          <w:bCs/>
        </w:rPr>
        <w:t xml:space="preserve">27.3%</w:t>
      </w:r>
      <w:r>
        <w:t xml:space="preserve">, up 380 basis points year over year despite CommScope being dilutive to the corporate average. Segment margins were also strong: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Q1 2026 segment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Operating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Communications Solutions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$4.53B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Harsh Environment Solutions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$1.69B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Interconnect &amp; Sensor Systems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$1.39B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Company 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$7.62B total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27.3%</w:t>
            </w:r>
          </w:p>
        </w:tc>
      </w:tr>
    </w:tbl>
    <w:p>
      <w:pPr>
        <w:pStyle w:val="BodyText"/>
      </w:pPr>
      <w:r>
        <w:t xml:space="preserve">The Q2 question is whether the combination of higher AI-related volumes, incremental CommScope revenue, pricing/productivity, and mix can preserve that margin level—or even expand it.</w:t>
      </w:r>
    </w:p>
    <w:p>
      <w:pPr>
        <w:pStyle w:val="BodyText"/>
      </w:pPr>
      <w:r>
        <w:t xml:space="preserve">A modest sequential margin decline would not necessarily be concerning if driven by the acquired business mix or normal operational timing. But a more meaningful decline would matter, because the investment case increasingly assumes Amphenol can combine elevated growth with unusually high conversion to profit and cash flow.</w:t>
      </w:r>
    </w:p>
    <w:bookmarkEnd w:id="13"/>
    <w:bookmarkStart w:id="14" w:name="Xd3947c588f26c64896a6baa3b535fc6ec76b365"/>
    <w:p>
      <w:pPr>
        <w:pStyle w:val="Heading2"/>
      </w:pPr>
      <w:r>
        <w:t xml:space="preserve">Bookings and book-to-bill: the cleanest demand indicator</w:t>
      </w:r>
    </w:p>
    <w:p>
      <w:pPr>
        <w:pStyle w:val="FirstParagraph"/>
      </w:pPr>
      <w:r>
        <w:t xml:space="preserve">Q1 orders were</w:t>
      </w:r>
      <w:r>
        <w:t xml:space="preserve"> </w:t>
      </w:r>
      <w:r>
        <w:rPr>
          <w:b/>
          <w:bCs/>
        </w:rPr>
        <w:t xml:space="preserve">$9.44B</w:t>
      </w:r>
      <w:r>
        <w:t xml:space="preserve">, producing a record</w:t>
      </w:r>
      <w:r>
        <w:t xml:space="preserve"> </w:t>
      </w:r>
      <w:r>
        <w:rPr>
          <w:b/>
          <w:bCs/>
        </w:rPr>
        <w:t xml:space="preserve">1.24x book-to-bill</w:t>
      </w:r>
      <w:r>
        <w:t xml:space="preserve">. Importantly, management said every end market had a positive book-to-bill, with particularly strong bookings in IT datacom, defense, commercial aerospace, and industrial.</w:t>
      </w:r>
    </w:p>
    <w:p>
      <w:pPr>
        <w:pStyle w:val="BodyText"/>
      </w:pPr>
      <w:r>
        <w:t xml:space="preserve">For Q2, the headline revenue result is backward-looking; bookings and book-to-bill will provide the sharper read on demand into the second half.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Above 1.0x:</w:t>
      </w:r>
      <w:r>
        <w:t xml:space="preserve"> </w:t>
      </w:r>
      <w:r>
        <w:t xml:space="preserve">supports continued growth and suggests order momentum remains intact.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Near Q1’s 1.24x:</w:t>
      </w:r>
      <w:r>
        <w:t xml:space="preserve"> </w:t>
      </w:r>
      <w:r>
        <w:t xml:space="preserve">would strengthen the case that AI, defense, and industrial demand remain robust.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Below 1.0x or a sharp sequential deceleration:</w:t>
      </w:r>
      <w:r>
        <w:t xml:space="preserve"> </w:t>
      </w:r>
      <w:r>
        <w:t xml:space="preserve">would likely raise concerns about AI inventory digestion, customer caution, or a normalization in demand following extraordinary growth.</w:t>
      </w:r>
    </w:p>
    <w:p>
      <w:pPr>
        <w:pStyle w:val="FirstParagraph"/>
      </w:pPr>
      <w:r>
        <w:t xml:space="preserve">Management previously noted that some customers have widened order commitments in conjunction with Amphenol’s capacity investments. Investors should distinguish between genuine end-demand strength and timing-related order behavior.</w:t>
      </w:r>
    </w:p>
    <w:bookmarkEnd w:id="14"/>
    <w:bookmarkStart w:id="16" w:name="Xe73c8548a2389f2e76a1ddccc49e679b321fe29"/>
    <w:p>
      <w:pPr>
        <w:pStyle w:val="Heading2"/>
      </w:pPr>
      <w:r>
        <w:t xml:space="preserve">End markets beyond AI: broad strength is an underappreciated support</w:t>
      </w:r>
    </w:p>
    <w:p>
      <w:pPr>
        <w:pStyle w:val="FirstParagraph"/>
      </w:pPr>
      <w:r>
        <w:t xml:space="preserve">While AI dominates the narrative, Amphenol’s Q1 performance was notably broad-based.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End market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mix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organic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sequential outlook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 datacom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Low-teens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Industrial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High-single-digit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Automotive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Modest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Communications networks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Flat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Defense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High-single-digit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Commercial aerospace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Slight decline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Mobile devices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Modest decline</w:t>
            </w:r>
          </w:p>
        </w:tc>
      </w:tr>
    </w:tbl>
    <w:bookmarkStart w:id="15" w:name="X4a430bb7413ecd71113b88b060e2e03661cf1d3"/>
    <w:p>
      <w:pPr>
        <w:pStyle w:val="Heading3"/>
      </w:pPr>
      <w:r>
        <w:t xml:space="preserve">Defense and industrial are especially relevant</w:t>
      </w:r>
    </w:p>
    <w:p>
      <w:pPr>
        <w:pStyle w:val="FirstParagraph"/>
      </w:pPr>
      <w:r>
        <w:t xml:space="preserve">Defense organic growth was 25% in Q1, and management expected a high-single-digit sequential increase in Q2. The company sees structural support from global defense spending and from demand for next-generation electronics, munitions, missile defense, RF interconnect, and related systems.</w:t>
      </w:r>
    </w:p>
    <w:p>
      <w:pPr>
        <w:pStyle w:val="BodyText"/>
      </w:pPr>
      <w:r>
        <w:t xml:space="preserve">Industrial growth was also broad, with Q1 organic growth of 16% and management guiding high-single-digit sequential growth in Q2. This strength spanned instrumentation, electrification, oil and gas, medical, heavy equipment, lighting, factory automation, and other harsh-environment applications.</w:t>
      </w:r>
    </w:p>
    <w:p>
      <w:pPr>
        <w:pStyle w:val="BodyText"/>
      </w:pPr>
      <w:r>
        <w:t xml:space="preserve">These markets reduce the risk that APH is simply an AI-beta trade. A continued broad-based order profile would be constructive for the quality and durability of growth.</w:t>
      </w:r>
    </w:p>
    <w:bookmarkEnd w:id="15"/>
    <w:bookmarkEnd w:id="16"/>
    <w:bookmarkStart w:id="17" w:name="X62e61b69b4604d3be5941ced79b87c880bfddba"/>
    <w:p>
      <w:pPr>
        <w:pStyle w:val="Heading2"/>
      </w:pPr>
      <w:r>
        <w:t xml:space="preserve">Cash flow, leverage, and capital allocation</w:t>
      </w:r>
    </w:p>
    <w:p>
      <w:pPr>
        <w:pStyle w:val="FirstParagraph"/>
      </w:pPr>
      <w:r>
        <w:t xml:space="preserve">The CommScope purchase materially changed the balance-sheet discussion. At March 31, Amphenol had: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$18.7B of total debt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$14.2B of net debt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1.6x net leverage</w:t>
      </w:r>
    </w:p>
    <w:p>
      <w:pPr>
        <w:pStyle w:val="Compact"/>
        <w:numPr>
          <w:ilvl w:val="0"/>
          <w:numId w:val="1004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$7.6B of total liquidity</w:t>
      </w:r>
    </w:p>
    <w:p>
      <w:pPr>
        <w:pStyle w:val="Compact"/>
        <w:numPr>
          <w:ilvl w:val="0"/>
          <w:numId w:val="1004"/>
        </w:numPr>
      </w:pPr>
      <w:r>
        <w:t xml:space="preserve">Expected quarterly net interest expense of about</w:t>
      </w:r>
      <w:r>
        <w:t xml:space="preserve"> </w:t>
      </w:r>
      <w:r>
        <w:rPr>
          <w:b/>
          <w:bCs/>
        </w:rPr>
        <w:t xml:space="preserve">$200M</w:t>
      </w:r>
      <w:r>
        <w:t xml:space="preserve"> </w:t>
      </w:r>
      <w:r>
        <w:t xml:space="preserve">for the rest of 2026</w:t>
      </w:r>
    </w:p>
    <w:p>
      <w:pPr>
        <w:pStyle w:val="FirstParagraph"/>
      </w:pPr>
      <w:r>
        <w:t xml:space="preserve">The acquisition was expensive at approximately</w:t>
      </w:r>
      <w:r>
        <w:t xml:space="preserve"> </w:t>
      </w:r>
      <m:oMath>
        <m:r>
          <m:t>10.6</m:t>
        </m:r>
        <m:r>
          <m:t>B</m:t>
        </m:r>
        <m:r>
          <m:t>n</m:t>
        </m:r>
        <m:r>
          <m:t>e</m:t>
        </m:r>
        <m:r>
          <m:t>t</m:t>
        </m:r>
        <m:r>
          <m:t>o</m:t>
        </m:r>
        <m:r>
          <m:t>f</m:t>
        </m:r>
        <m:r>
          <m:t>c</m:t>
        </m:r>
        <m:r>
          <m:t>a</m:t>
        </m:r>
        <m:r>
          <m:t>s</m:t>
        </m:r>
        <m:r>
          <m:t>h</m:t>
        </m:r>
        <m:r>
          <m:t>a</m:t>
        </m:r>
        <m:r>
          <m:t>c</m:t>
        </m:r>
        <m:r>
          <m:t>q</m:t>
        </m:r>
        <m:r>
          <m:t>u</m:t>
        </m:r>
        <m:r>
          <m:t>i</m:t>
        </m:r>
        <m:r>
          <m:t>r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A</m:t>
        </m:r>
        <m:r>
          <m:t>m</m:t>
        </m:r>
        <m:r>
          <m:t>p</m:t>
        </m:r>
        <m:r>
          <m:t>h</m:t>
        </m:r>
        <m:r>
          <m:t>e</m:t>
        </m:r>
        <m:r>
          <m:t>n</m:t>
        </m:r>
        <m:r>
          <m:t>o</m:t>
        </m:r>
        <m:r>
          <m:t>l</m:t>
        </m:r>
        <m:r>
          <m:t>b</m:t>
        </m:r>
        <m:r>
          <m:t>e</m:t>
        </m:r>
        <m:r>
          <m:t>g</m:t>
        </m:r>
        <m:r>
          <m:t>a</m:t>
        </m:r>
        <m:r>
          <m:t>n</m:t>
        </m:r>
        <m:r>
          <m:t>f</m:t>
        </m:r>
        <m:r>
          <m:t>r</m:t>
        </m:r>
        <m:r>
          <m:t>o</m:t>
        </m:r>
        <m:r>
          <m:t>m</m:t>
        </m:r>
        <m:r>
          <m:t>a</m:t>
        </m:r>
        <m:r>
          <m:t>s</m:t>
        </m:r>
        <m:r>
          <m:t>t</m:t>
        </m:r>
        <m:r>
          <m:t>r</m:t>
        </m:r>
        <m:r>
          <m:t>o</m:t>
        </m:r>
        <m:r>
          <m:t>n</m:t>
        </m:r>
        <m:r>
          <m:t>g</m:t>
        </m:r>
        <m:r>
          <m:t>f</m:t>
        </m:r>
        <m:r>
          <m:t>i</m:t>
        </m:r>
        <m:r>
          <m:t>n</m:t>
        </m:r>
        <m:r>
          <m:t>a</m:t>
        </m:r>
        <m:r>
          <m:t>n</m:t>
        </m:r>
        <m:r>
          <m:t>c</m:t>
        </m:r>
        <m:r>
          <m:t>i</m:t>
        </m:r>
        <m:r>
          <m:t>a</m:t>
        </m:r>
        <m:r>
          <m:t>l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n</m:t>
        </m:r>
        <m:r>
          <m:t>d</m:t>
        </m:r>
        <m:r>
          <m:t>d</m:t>
        </m:r>
        <m:r>
          <m:t>e</m:t>
        </m:r>
        <m:r>
          <m:t>m</m:t>
        </m:r>
        <m:r>
          <m:t>o</m:t>
        </m:r>
        <m:r>
          <m:t>n</m:t>
        </m:r>
        <m:r>
          <m:t>s</m:t>
        </m:r>
        <m:r>
          <m:t>t</m:t>
        </m:r>
        <m:r>
          <m:t>r</m:t>
        </m:r>
        <m:r>
          <m:t>a</m:t>
        </m:r>
        <m:r>
          <m:t>t</m:t>
        </m:r>
        <m:r>
          <m:t>e</m:t>
        </m:r>
        <m:r>
          <m:t>d</m:t>
        </m:r>
        <m:r>
          <m:t>s</m:t>
        </m:r>
        <m:r>
          <m:t>o</m:t>
        </m:r>
        <m:r>
          <m:t>l</m:t>
        </m:r>
        <m:r>
          <m:t>i</m:t>
        </m:r>
        <m:r>
          <m:t>d</m:t>
        </m:r>
        <m:r>
          <m:t>Q</m:t>
        </m:r>
        <m:r>
          <m:t>1</m:t>
        </m:r>
        <m:r>
          <m:t>c</m:t>
        </m:r>
        <m:r>
          <m:t>a</m:t>
        </m:r>
        <m:r>
          <m:t>s</m:t>
        </m:r>
        <m:r>
          <m:t>h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: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1.12B of operating cash flow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$831M of free cash flow</w:t>
      </w:r>
      <w:r>
        <w:t xml:space="preserve">.</w:t>
      </w:r>
    </w:p>
    <w:p>
      <w:pPr>
        <w:pStyle w:val="BodyText"/>
      </w:pPr>
      <w:r>
        <w:t xml:space="preserve">For Q2, investors should look for:</w:t>
      </w:r>
    </w:p>
    <w:p>
      <w:pPr>
        <w:pStyle w:val="Compact"/>
        <w:numPr>
          <w:ilvl w:val="0"/>
          <w:numId w:val="1005"/>
        </w:numPr>
      </w:pPr>
      <w:r>
        <w:t xml:space="preserve">Free-cash-flow conversion relative to adjusted earnings.</w:t>
      </w:r>
    </w:p>
    <w:p>
      <w:pPr>
        <w:pStyle w:val="Compact"/>
        <w:numPr>
          <w:ilvl w:val="0"/>
          <w:numId w:val="1005"/>
        </w:numPr>
      </w:pPr>
      <w:r>
        <w:t xml:space="preserve">Working-capital performance as revenue scales.</w:t>
      </w:r>
    </w:p>
    <w:p>
      <w:pPr>
        <w:pStyle w:val="Compact"/>
        <w:numPr>
          <w:ilvl w:val="0"/>
          <w:numId w:val="1005"/>
        </w:numPr>
      </w:pPr>
      <w:r>
        <w:t xml:space="preserve">Early signs of debt reduction or clarity on the deleveraging trajectory.</w:t>
      </w:r>
    </w:p>
    <w:p>
      <w:pPr>
        <w:pStyle w:val="Compact"/>
        <w:numPr>
          <w:ilvl w:val="0"/>
          <w:numId w:val="1005"/>
        </w:numPr>
      </w:pPr>
      <w:r>
        <w:t xml:space="preserve">The balance among capex for AI capacity, dividends, buybacks, and future M&amp;A.</w:t>
      </w:r>
    </w:p>
    <w:p>
      <w:pPr>
        <w:pStyle w:val="FirstParagraph"/>
      </w:pPr>
      <w:r>
        <w:t xml:space="preserve">The company returned nearly $485M to shareholders in Q1 through dividends and repurchases. With leverage now higher, the relative priority of deleveraging versus repurchases is worth monitoring.</w:t>
      </w:r>
    </w:p>
    <w:bookmarkEnd w:id="17"/>
    <w:bookmarkStart w:id="18" w:name="the-tax-rate-reset-is-now-embedded"/>
    <w:p>
      <w:pPr>
        <w:pStyle w:val="Heading2"/>
      </w:pPr>
      <w:r>
        <w:t xml:space="preserve">The tax-rate reset is now embedded</w:t>
      </w:r>
    </w:p>
    <w:p>
      <w:pPr>
        <w:pStyle w:val="FirstParagraph"/>
      </w:pPr>
      <w:r>
        <w:t xml:space="preserve">Q1 GAAP earnings were distorted by China-related tax items, including a $130M accrual for unfavorable tax determinations and $160M of additional tax obligations from reassessing prior-year assumptions. More importantly for forward earnings, Amphenol raised its</w:t>
      </w:r>
      <w:r>
        <w:t xml:space="preserve"> </w:t>
      </w:r>
      <w:r>
        <w:rPr>
          <w:b/>
          <w:bCs/>
        </w:rPr>
        <w:t xml:space="preserve">adjusted effective tax rate to 27%</w:t>
      </w:r>
      <w:r>
        <w:t xml:space="preserve"> </w:t>
      </w:r>
      <w:r>
        <w:t xml:space="preserve">and expected that rate to continue for the remainder of 2026.</w:t>
      </w:r>
    </w:p>
    <w:p>
      <w:pPr>
        <w:pStyle w:val="BodyText"/>
      </w:pPr>
      <w:r>
        <w:t xml:space="preserve">Thus, Q2 should be cleaner from a GAAP-versus-adjusted perspective, but investors should not expect a return to the lower adjusted tax rates seen previously. The focus should be on operational EPS delivery, rather than a tax-driven beat.</w:t>
      </w:r>
    </w:p>
    <w:bookmarkEnd w:id="18"/>
    <w:bookmarkStart w:id="22" w:name="potential-earnings-scenarios"/>
    <w:p>
      <w:pPr>
        <w:pStyle w:val="Heading2"/>
      </w:pPr>
      <w:r>
        <w:t xml:space="preserve">Potential earnings scenarios</w:t>
      </w:r>
    </w:p>
    <w:bookmarkStart w:id="19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6"/>
        </w:numPr>
      </w:pPr>
      <w:r>
        <w:t xml:space="preserve">Revenue and adjusted EPS exceed the high end of guidance.</w:t>
      </w:r>
    </w:p>
    <w:p>
      <w:pPr>
        <w:pStyle w:val="Compact"/>
        <w:numPr>
          <w:ilvl w:val="0"/>
          <w:numId w:val="1006"/>
        </w:numPr>
      </w:pPr>
      <w:r>
        <w:t xml:space="preserve">IT datacom grows faster than the low-teens sequential target.</w:t>
      </w:r>
    </w:p>
    <w:p>
      <w:pPr>
        <w:pStyle w:val="Compact"/>
        <w:numPr>
          <w:ilvl w:val="0"/>
          <w:numId w:val="1006"/>
        </w:numPr>
      </w:pPr>
      <w:r>
        <w:t xml:space="preserve">Book-to-bill remains materially above 1.0x.</w:t>
      </w:r>
    </w:p>
    <w:p>
      <w:pPr>
        <w:pStyle w:val="Compact"/>
        <w:numPr>
          <w:ilvl w:val="0"/>
          <w:numId w:val="1006"/>
        </w:numPr>
      </w:pPr>
      <w:r>
        <w:t xml:space="preserve">CommScope growth and integration trends exceed expectations.</w:t>
      </w:r>
    </w:p>
    <w:p>
      <w:pPr>
        <w:pStyle w:val="Compact"/>
        <w:numPr>
          <w:ilvl w:val="0"/>
          <w:numId w:val="1006"/>
        </w:numPr>
      </w:pPr>
      <w:r>
        <w:t xml:space="preserve">Adjusted operating margin holds around Q1’s 27.3% despite acquisition mix.</w:t>
      </w:r>
    </w:p>
    <w:p>
      <w:pPr>
        <w:pStyle w:val="Compact"/>
        <w:numPr>
          <w:ilvl w:val="0"/>
          <w:numId w:val="1006"/>
        </w:numPr>
      </w:pPr>
      <w:r>
        <w:t xml:space="preserve">Q3 guide rises meaningfully, supported by AI, defense, and industrial demand.</w:t>
      </w:r>
    </w:p>
    <w:bookmarkEnd w:id="19"/>
    <w:bookmarkStart w:id="20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07"/>
        </w:numPr>
      </w:pPr>
      <w:r>
        <w:t xml:space="preserve">Revenue and adjusted EPS land around the midpoint-to-high end of guide.</w:t>
      </w:r>
    </w:p>
    <w:p>
      <w:pPr>
        <w:pStyle w:val="Compact"/>
        <w:numPr>
          <w:ilvl w:val="0"/>
          <w:numId w:val="1007"/>
        </w:numPr>
      </w:pPr>
      <w:r>
        <w:t xml:space="preserve">AI demand remains strong but normalizes from Q1’s extraordinary growth rate.</w:t>
      </w:r>
    </w:p>
    <w:p>
      <w:pPr>
        <w:pStyle w:val="Compact"/>
        <w:numPr>
          <w:ilvl w:val="0"/>
          <w:numId w:val="1007"/>
        </w:numPr>
      </w:pPr>
      <w:r>
        <w:t xml:space="preserve">Book-to-bill remains positive but moderates from 1.24x.</w:t>
      </w:r>
    </w:p>
    <w:p>
      <w:pPr>
        <w:pStyle w:val="Compact"/>
        <w:numPr>
          <w:ilvl w:val="0"/>
          <w:numId w:val="1007"/>
        </w:numPr>
      </w:pPr>
      <w:r>
        <w:t xml:space="preserve">Margins remain strong, with modest dilution from CommScope.</w:t>
      </w:r>
    </w:p>
    <w:p>
      <w:pPr>
        <w:pStyle w:val="Compact"/>
        <w:numPr>
          <w:ilvl w:val="0"/>
          <w:numId w:val="1007"/>
        </w:numPr>
      </w:pPr>
      <w:r>
        <w:t xml:space="preserve">Management reiterates the 2026 CommScope revenue and accretion targets.</w:t>
      </w:r>
    </w:p>
    <w:bookmarkEnd w:id="20"/>
    <w:bookmarkStart w:id="21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08"/>
        </w:numPr>
      </w:pPr>
      <w:r>
        <w:t xml:space="preserve">IT datacom growth falls short of low-teens sequential guidance or bookings soften sharply.</w:t>
      </w:r>
    </w:p>
    <w:p>
      <w:pPr>
        <w:pStyle w:val="Compact"/>
        <w:numPr>
          <w:ilvl w:val="0"/>
          <w:numId w:val="1008"/>
        </w:numPr>
      </w:pPr>
      <w:r>
        <w:t xml:space="preserve">Customers signal AI-capex digestion, delayed builds, or lower capacity commitments.</w:t>
      </w:r>
    </w:p>
    <w:p>
      <w:pPr>
        <w:pStyle w:val="Compact"/>
        <w:numPr>
          <w:ilvl w:val="0"/>
          <w:numId w:val="1008"/>
        </w:numPr>
      </w:pPr>
      <w:r>
        <w:t xml:space="preserve">CommScope faces fiber supply constraints, integration friction, or slower margin improvement.</w:t>
      </w:r>
    </w:p>
    <w:p>
      <w:pPr>
        <w:pStyle w:val="Compact"/>
        <w:numPr>
          <w:ilvl w:val="0"/>
          <w:numId w:val="1008"/>
        </w:numPr>
      </w:pPr>
      <w:r>
        <w:t xml:space="preserve">Margin performance disappoints due to mix, costs, or pricing pressure.</w:t>
      </w:r>
    </w:p>
    <w:p>
      <w:pPr>
        <w:pStyle w:val="Compact"/>
        <w:numPr>
          <w:ilvl w:val="0"/>
          <w:numId w:val="1008"/>
        </w:numPr>
      </w:pPr>
      <w:r>
        <w:t xml:space="preserve">Q3 outlook implies a more abrupt deceleration than investors expect.</w:t>
      </w:r>
    </w:p>
    <w:bookmarkEnd w:id="21"/>
    <w:bookmarkEnd w:id="22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APH is set up as a high-expectations execution report.</w:t>
      </w:r>
      <w:r>
        <w:t xml:space="preserve"> </w:t>
      </w:r>
      <w:r>
        <w:t xml:space="preserve">The company’s own Q2 guidance is already robust, so merely meeting it may not be enough for a decisive positive reaction. The most important ingredients for a favorable outcome are: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IT datacom growth at or above the low-teens sequential guide;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Book-to-bill remaining convincingly above 1.0x;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Evidence that CommScope is outperforming initial growth expectations and moving toward higher margins;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Sustained adjusted operating margin near the 27% level; and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 Q3 outlook that confirms AI strength is not limited to one exceptional quarter.</w:t>
      </w:r>
    </w:p>
    <w:p>
      <w:pPr>
        <w:pStyle w:val="FirstParagraph"/>
      </w:pPr>
      <w:r>
        <w:t xml:space="preserve">Conversely, a revenue/EPS beat paired with weaker bookings or cautious AI commentary could be insufficient, particularly given the market’s renewed sensitivity to the durability of AI infrastructure spending.</w:t>
      </w:r>
    </w:p>
    <w:p>
      <w:r>
        <w:pict>
          <v:rect style="width:0;height:1.5pt" o:hralign="center" o:hrstd="t" o:hr="t"/>
        </w:pict>
      </w:r>
    </w:p>
    <w:bookmarkStart w:id="23" w:name="primary-materials-reviewed"/>
    <w:p>
      <w:pPr>
        <w:pStyle w:val="Heading3"/>
      </w:pPr>
      <w:r>
        <w:t xml:space="preserve">Primary materials reviewed</w:t>
      </w:r>
    </w:p>
    <w:p>
      <w:pPr>
        <w:pStyle w:val="Compact"/>
        <w:numPr>
          <w:ilvl w:val="0"/>
          <w:numId w:val="1010"/>
        </w:numPr>
      </w:pPr>
      <w:r>
        <w:t xml:space="preserve">Amphenol Q1 2026 earnings release and Q2 guidance</w:t>
      </w:r>
    </w:p>
    <w:p>
      <w:pPr>
        <w:pStyle w:val="Compact"/>
        <w:numPr>
          <w:ilvl w:val="0"/>
          <w:numId w:val="1010"/>
        </w:numPr>
      </w:pPr>
      <w:r>
        <w:t xml:space="preserve">Amphenol Q1 2026 earnings-call transcript</w:t>
      </w:r>
    </w:p>
    <w:p>
      <w:pPr>
        <w:pStyle w:val="Compact"/>
        <w:numPr>
          <w:ilvl w:val="0"/>
          <w:numId w:val="1010"/>
        </w:numPr>
      </w:pPr>
      <w:r>
        <w:t xml:space="preserve">Amphenol Q1 2026 Form 10-Q</w:t>
      </w:r>
    </w:p>
    <w:p>
      <w:pPr>
        <w:pStyle w:val="Compact"/>
        <w:numPr>
          <w:ilvl w:val="0"/>
          <w:numId w:val="1010"/>
        </w:numPr>
      </w:pPr>
      <w:r>
        <w:t xml:space="preserve">APH historical closing-price data through July 28, 2026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2026-07-29T01:11:16Z</dcterms:created>
  <dcterms:modified xsi:type="dcterms:W3CDTF">2026-07-29T01:11:16Z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