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Amphenol Corporation (APH)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Amphenol Corporation</w:t>
            </w:r>
          </w:p>
        </w:tc>
      </w:tr>
      <w:tr>
        <w:tc>
          <w:tcPr>
            <w:tcW w:type="dxa" w:w="4320"/>
          </w:tcPr>
          <w:p>
            <w:r>
              <w:rPr>
                <w:rFonts w:ascii="Calibri" w:hAnsi="Calibri"/>
                <w:b/>
                <w:sz w:val="22"/>
              </w:rPr>
              <w:t>Ticker</w:t>
            </w:r>
          </w:p>
        </w:tc>
        <w:tc>
          <w:tcPr>
            <w:tcW w:type="dxa" w:w="4320"/>
          </w:tcPr>
          <w:p>
            <w:r>
              <w:rPr>
                <w:rFonts w:ascii="Calibri" w:hAnsi="Calibri"/>
                <w:sz w:val="22"/>
              </w:rPr>
              <w:t>APH US</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Expected Earnings Date</w:t>
            </w:r>
          </w:p>
        </w:tc>
        <w:tc>
          <w:tcPr>
            <w:tcW w:type="dxa" w:w="4320"/>
          </w:tcPr>
          <w:p>
            <w:r>
              <w:rPr>
                <w:rFonts w:ascii="Calibri" w:hAnsi="Calibri"/>
                <w:sz w:val="22"/>
              </w:rPr>
              <w:t>Late July 2026 (exact date TBC)</w:t>
            </w:r>
          </w:p>
        </w:tc>
      </w:tr>
      <w:tr>
        <w:tc>
          <w:tcPr>
            <w:tcW w:type="dxa" w:w="4320"/>
          </w:tcPr>
          <w:p>
            <w:r>
              <w:rPr>
                <w:rFonts w:ascii="Calibri" w:hAnsi="Calibri"/>
                <w:b/>
                <w:sz w:val="22"/>
              </w:rPr>
              <w:t>Prepared Date</w:t>
            </w:r>
          </w:p>
        </w:tc>
        <w:tc>
          <w:tcPr>
            <w:tcW w:type="dxa" w:w="4320"/>
          </w:tcPr>
          <w:p>
            <w:r>
              <w:rPr>
                <w:rFonts w:ascii="Calibri" w:hAnsi="Calibri"/>
                <w:sz w:val="22"/>
              </w:rPr>
              <w:t>July 28, 2026</w:t>
            </w:r>
          </w:p>
        </w:tc>
      </w:tr>
      <w:tr>
        <w:tc>
          <w:tcPr>
            <w:tcW w:type="dxa" w:w="4320"/>
          </w:tcPr>
          <w:p>
            <w:r>
              <w:rPr>
                <w:rFonts w:ascii="Calibri" w:hAnsi="Calibri"/>
                <w:b/>
                <w:sz w:val="22"/>
              </w:rPr>
              <w:t>Last Earnings</w:t>
            </w:r>
          </w:p>
        </w:tc>
        <w:tc>
          <w:tcPr>
            <w:tcW w:type="dxa" w:w="4320"/>
          </w:tcPr>
          <w:p>
            <w:r>
              <w:rPr>
                <w:rFonts w:ascii="Calibri" w:hAnsi="Calibri"/>
                <w:sz w:val="22"/>
              </w:rPr>
              <w:t>Q1 2026 — April 29,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Setup leans toward another beat — consensus for Q2 revenue ($8.29B) and adj. EPS ($1.18) sits above management's own guidance midpoint ($8.15B / $1.15), but the bar was set by a blowout Q1 print and the stock has already given back its post-earnings gains; the single biggest swing factor is whether </w:t>
      </w:r>
      <w:r>
        <w:rPr>
          <w:rFonts w:ascii="Calibri" w:hAnsi="Calibri"/>
          <w:b/>
          <w:color w:val="30A46C"/>
          <w:sz w:val="22"/>
        </w:rPr>
        <w:t>IT datacom sequential growth</w:t>
      </w:r>
      <w:r>
        <w:rPr>
          <w:rFonts w:ascii="Calibri" w:hAnsi="Calibri"/>
          <w:b/>
          <w:color w:val="525866"/>
          <w:sz w:val="22"/>
        </w:rPr>
        <w:t xml:space="preserve"> again exceeds the guided "low-teens" sequential increase, as it did dramatically in Q1.</w:t>
      </w:r>
    </w:p>
    <w:p>
      <w:r>
        <w:rPr>
          <w:rFonts w:ascii="Calibri" w:hAnsi="Calibri"/>
          <w:color w:val="525866"/>
          <w:sz w:val="22"/>
        </w:rPr>
        <w:t xml:space="preserve">Heading into Q2 2026, Amphenol's bar is high but achievable: consensus revenue of $8.29B implies ~47% YoY growth and sits roughly 1.7% above the guidance midpoint of $8.15B, while adj. EPS consensus of $1.18 is ~2.6% above the $1.15 midpoint — a pattern consistent with APH's history of guiding conservatively and then beating. </w:t>
      </w:r>
      <w:r>
        <w:rPr>
          <w:rFonts w:ascii="Calibri" w:hAnsi="Calibri"/>
          <w:color w:val="525866"/>
          <w:sz w:val="22"/>
        </w:rPr>
        <w:t>Management's tone on the Q1 call was the most confident in years</w:t>
      </w:r>
      <w:r>
        <w:rPr>
          <w:rFonts w:ascii="Calibri" w:hAnsi="Calibri"/>
          <w:color w:val="525866"/>
          <w:sz w:val="22"/>
        </w:rPr>
        <w:t xml:space="preserve"> — record orders of $9.4B, a 1.24x book-to-bill across all end markets, and explicit commentary that AI data center investments are "accelerating" into Q2 — leaving little room for a cautious pivot. Estimate revisions have moved sharply higher since the Q1 print (Q2 revenue consensus up ~$70M from the post-Q1 baseline), tracking well above guidance and suggesting the Street has already partially priced in upside. The stock, however, has underperformed the S&amp;P 500 by roughly 7 percentage points since the April 29 earnings date (APH −3.1% vs. SPY +4.1%), unwinding the initial gap-up and reflecting valuation digestion at ~40x forward earnings. The key wildcard is the </w:t>
      </w:r>
      <w:r>
        <w:rPr>
          <w:rFonts w:ascii="Calibri" w:hAnsi="Calibri"/>
          <w:b/>
          <w:color w:val="525866"/>
          <w:sz w:val="22"/>
        </w:rPr>
        <w:t>pace of IT datacom sequential growth</w:t>
      </w:r>
      <w:r>
        <w:rPr>
          <w:rFonts w:ascii="Calibri" w:hAnsi="Calibri"/>
          <w:color w:val="525866"/>
          <w:sz w:val="22"/>
        </w:rPr>
        <w:t>: in Q1, organic sequential growth of 16% came in far above the guided low-double-digit increase; if Q2 delivers a similar upside surprise on the guided "low-teens" sequential step-up, the stock should re-rate higher — but any sign of deceleration or order aperture narrowing would be a meaningful negative given the premium multiple.</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moderately high bar — estimates sit above guidance midpoints on both revenue and EPS, but APH has beaten its own guidance in each of the last 8 quarters. </w:t>
      </w:r>
      <w:r>
        <w:rPr>
          <w:rFonts w:ascii="Calibri" w:hAnsi="Calibri"/>
          <w:b/>
          <w:color w:val="525866"/>
          <w:sz w:val="22"/>
        </w:rPr>
        <w:t>IT datacom revenue ($3.60B consensus) is the bigger swing factor; any sequential upside above the guided low-teens step-up would drive a meaningful beat.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 (%)</w:t>
            </w:r>
          </w:p>
        </w:tc>
      </w:tr>
      <w:tr>
        <w:tc>
          <w:tcPr>
            <w:tcW w:type="dxa" w:w="1234"/>
          </w:tcPr>
          <w:p>
            <w:r>
              <w:rPr>
                <w:rFonts w:ascii="Calibri" w:hAnsi="Calibri"/>
                <w:sz w:val="22"/>
              </w:rPr>
              <w:t>Net Sales ($B)</w:t>
            </w:r>
          </w:p>
        </w:tc>
        <w:tc>
          <w:tcPr>
            <w:tcW w:type="dxa" w:w="1234"/>
          </w:tcPr>
          <w:p>
            <w:r>
              <w:rPr>
                <w:rFonts w:ascii="Calibri" w:hAnsi="Calibri"/>
                <w:sz w:val="22"/>
              </w:rPr>
              <w:t>$7.620B</w:t>
            </w:r>
          </w:p>
        </w:tc>
        <w:tc>
          <w:tcPr>
            <w:tcW w:type="dxa" w:w="1234"/>
          </w:tcPr>
          <w:p>
            <w:r>
              <w:rPr>
                <w:rFonts w:ascii="Calibri" w:hAnsi="Calibri"/>
                <w:sz w:val="22"/>
              </w:rPr>
              <w:t>$5.650B</w:t>
            </w:r>
          </w:p>
        </w:tc>
        <w:tc>
          <w:tcPr>
            <w:tcW w:type="dxa" w:w="1234"/>
          </w:tcPr>
          <w:p>
            <w:r>
              <w:rPr>
                <w:rFonts w:ascii="Calibri" w:hAnsi="Calibri"/>
                <w:sz w:val="22"/>
              </w:rPr>
              <w:t>$8.292B</w:t>
            </w:r>
          </w:p>
        </w:tc>
        <w:tc>
          <w:tcPr>
            <w:tcW w:type="dxa" w:w="1234"/>
          </w:tcPr>
          <w:p>
            <w:r>
              <w:rPr>
                <w:rFonts w:ascii="Calibri" w:hAnsi="Calibri"/>
                <w:b/>
                <w:color w:val="30A46C"/>
                <w:sz w:val="22"/>
              </w:rPr>
              <w:t>+46.8%</w:t>
            </w:r>
          </w:p>
        </w:tc>
        <w:tc>
          <w:tcPr>
            <w:tcW w:type="dxa" w:w="1234"/>
          </w:tcPr>
          <w:p>
            <w:r>
              <w:rPr>
                <w:rFonts w:ascii="Calibri" w:hAnsi="Calibri"/>
                <w:sz w:val="22"/>
              </w:rPr>
              <w:t>$8.10–$8.20B (mid: $8.15B)</w:t>
            </w:r>
          </w:p>
        </w:tc>
        <w:tc>
          <w:tcPr>
            <w:tcW w:type="dxa" w:w="1234"/>
          </w:tcPr>
          <w:p>
            <w:r>
              <w:rPr>
                <w:rFonts w:ascii="Calibri" w:hAnsi="Calibri"/>
                <w:sz w:val="22"/>
              </w:rPr>
              <w:t>+1.7%</w:t>
            </w:r>
          </w:p>
        </w:tc>
      </w:tr>
      <w:tr>
        <w:tc>
          <w:tcPr>
            <w:tcW w:type="dxa" w:w="1234"/>
          </w:tcPr>
          <w:p>
            <w:r>
              <w:rPr>
                <w:rFonts w:ascii="Calibri" w:hAnsi="Calibri"/>
                <w:sz w:val="22"/>
              </w:rPr>
              <w:t>Adj. EPS — Diluted ($)</w:t>
            </w:r>
          </w:p>
        </w:tc>
        <w:tc>
          <w:tcPr>
            <w:tcW w:type="dxa" w:w="1234"/>
          </w:tcPr>
          <w:p>
            <w:r>
              <w:rPr>
                <w:rFonts w:ascii="Calibri" w:hAnsi="Calibri"/>
                <w:sz w:val="22"/>
              </w:rPr>
              <w:t>$1.06</w:t>
            </w:r>
          </w:p>
        </w:tc>
        <w:tc>
          <w:tcPr>
            <w:tcW w:type="dxa" w:w="1234"/>
          </w:tcPr>
          <w:p>
            <w:r>
              <w:rPr>
                <w:rFonts w:ascii="Calibri" w:hAnsi="Calibri"/>
                <w:sz w:val="22"/>
              </w:rPr>
              <w:t>$0.81</w:t>
            </w:r>
          </w:p>
        </w:tc>
        <w:tc>
          <w:tcPr>
            <w:tcW w:type="dxa" w:w="1234"/>
          </w:tcPr>
          <w:p>
            <w:r>
              <w:rPr>
                <w:rFonts w:ascii="Calibri" w:hAnsi="Calibri"/>
                <w:sz w:val="22"/>
              </w:rPr>
              <w:t>$1.183</w:t>
            </w:r>
          </w:p>
        </w:tc>
        <w:tc>
          <w:tcPr>
            <w:tcW w:type="dxa" w:w="1234"/>
          </w:tcPr>
          <w:p>
            <w:r>
              <w:rPr>
                <w:rFonts w:ascii="Calibri" w:hAnsi="Calibri"/>
                <w:b/>
                <w:color w:val="30A46C"/>
                <w:sz w:val="22"/>
              </w:rPr>
              <w:t>+46.0%</w:t>
            </w:r>
          </w:p>
        </w:tc>
        <w:tc>
          <w:tcPr>
            <w:tcW w:type="dxa" w:w="1234"/>
          </w:tcPr>
          <w:p>
            <w:r>
              <w:rPr>
                <w:rFonts w:ascii="Calibri" w:hAnsi="Calibri"/>
                <w:sz w:val="22"/>
              </w:rPr>
              <w:t>$1.14–$1.16 (mid: $1.15)</w:t>
            </w:r>
          </w:p>
        </w:tc>
        <w:tc>
          <w:tcPr>
            <w:tcW w:type="dxa" w:w="1234"/>
          </w:tcPr>
          <w:p>
            <w:r>
              <w:rPr>
                <w:rFonts w:ascii="Calibri" w:hAnsi="Calibri"/>
                <w:sz w:val="22"/>
              </w:rPr>
              <w:t>+2.9%</w:t>
            </w:r>
          </w:p>
        </w:tc>
      </w:tr>
      <w:tr>
        <w:tc>
          <w:tcPr>
            <w:tcW w:type="dxa" w:w="1234"/>
          </w:tcPr>
          <w:p>
            <w:r>
              <w:rPr>
                <w:rFonts w:ascii="Calibri" w:hAnsi="Calibri"/>
                <w:sz w:val="22"/>
              </w:rPr>
              <w:t>Adj. Operating Margin (%)</w:t>
            </w:r>
          </w:p>
        </w:tc>
        <w:tc>
          <w:tcPr>
            <w:tcW w:type="dxa" w:w="1234"/>
          </w:tcPr>
          <w:p>
            <w:r>
              <w:rPr>
                <w:rFonts w:ascii="Calibri" w:hAnsi="Calibri"/>
                <w:sz w:val="22"/>
              </w:rPr>
              <w:t>27.3%</w:t>
            </w:r>
          </w:p>
        </w:tc>
        <w:tc>
          <w:tcPr>
            <w:tcW w:type="dxa" w:w="1234"/>
          </w:tcPr>
          <w:p>
            <w:r>
              <w:rPr>
                <w:rFonts w:ascii="Calibri" w:hAnsi="Calibri"/>
                <w:sz w:val="22"/>
              </w:rPr>
              <w:t>25.6%</w:t>
            </w:r>
          </w:p>
        </w:tc>
        <w:tc>
          <w:tcPr>
            <w:tcW w:type="dxa" w:w="1234"/>
          </w:tcPr>
          <w:p>
            <w:r>
              <w:rPr>
                <w:rFonts w:ascii="Calibri" w:hAnsi="Calibri"/>
                <w:sz w:val="22"/>
              </w:rPr>
              <w:t>27.7%</w:t>
            </w:r>
          </w:p>
        </w:tc>
        <w:tc>
          <w:tcPr>
            <w:tcW w:type="dxa" w:w="1234"/>
          </w:tcPr>
          <w:p>
            <w:r>
              <w:rPr>
                <w:rFonts w:ascii="Calibri" w:hAnsi="Calibri"/>
                <w:b/>
                <w:color w:val="30A46C"/>
                <w:sz w:val="22"/>
              </w:rPr>
              <w:t>+210 bps</w:t>
            </w:r>
          </w:p>
        </w:tc>
        <w:tc>
          <w:tcPr>
            <w:tcW w:type="dxa" w:w="1234"/>
          </w:tcPr>
          <w:p>
            <w:r>
              <w:rPr>
                <w:rFonts w:ascii="Calibri" w:hAnsi="Calibri"/>
                <w:sz w:val="22"/>
              </w:rPr>
              <w:t>"Strong margins" (no specific %)</w:t>
            </w:r>
          </w:p>
        </w:tc>
        <w:tc>
          <w:tcPr>
            <w:tcW w:type="dxa" w:w="1234"/>
          </w:tcPr>
          <w:p>
            <w:r>
              <w:rPr>
                <w:rFonts w:ascii="Calibri" w:hAnsi="Calibri"/>
                <w:sz w:val="22"/>
              </w:rPr>
              <w:t>N/A</w:t>
            </w:r>
          </w:p>
        </w:tc>
      </w:tr>
      <w:tr>
        <w:tc>
          <w:tcPr>
            <w:tcW w:type="dxa" w:w="1234"/>
          </w:tcPr>
          <w:p>
            <w:r>
              <w:rPr>
                <w:rFonts w:ascii="Calibri" w:hAnsi="Calibri"/>
                <w:sz w:val="22"/>
              </w:rPr>
              <w:t>IT &amp; Datacom Revenue ($B)</w:t>
            </w:r>
          </w:p>
        </w:tc>
        <w:tc>
          <w:tcPr>
            <w:tcW w:type="dxa" w:w="1234"/>
          </w:tcPr>
          <w:p>
            <w:r>
              <w:rPr>
                <w:rFonts w:ascii="Calibri" w:hAnsi="Calibri"/>
                <w:sz w:val="22"/>
              </w:rPr>
              <w:t>$3.124B</w:t>
            </w:r>
          </w:p>
        </w:tc>
        <w:tc>
          <w:tcPr>
            <w:tcW w:type="dxa" w:w="1234"/>
          </w:tcPr>
          <w:p>
            <w:r>
              <w:rPr>
                <w:rFonts w:ascii="Calibri" w:hAnsi="Calibri"/>
                <w:sz w:val="22"/>
              </w:rPr>
              <w:t>$2.034B</w:t>
            </w:r>
          </w:p>
        </w:tc>
        <w:tc>
          <w:tcPr>
            <w:tcW w:type="dxa" w:w="1234"/>
          </w:tcPr>
          <w:p>
            <w:r>
              <w:rPr>
                <w:rFonts w:ascii="Calibri" w:hAnsi="Calibri"/>
                <w:sz w:val="22"/>
              </w:rPr>
              <w:t>$3.603B</w:t>
            </w:r>
          </w:p>
        </w:tc>
        <w:tc>
          <w:tcPr>
            <w:tcW w:type="dxa" w:w="1234"/>
          </w:tcPr>
          <w:p>
            <w:r>
              <w:rPr>
                <w:rFonts w:ascii="Calibri" w:hAnsi="Calibri"/>
                <w:b/>
                <w:color w:val="30A46C"/>
                <w:sz w:val="22"/>
              </w:rPr>
              <w:t>+77.2%</w:t>
            </w:r>
          </w:p>
        </w:tc>
        <w:tc>
          <w:tcPr>
            <w:tcW w:type="dxa" w:w="1234"/>
          </w:tcPr>
          <w:p>
            <w:r>
              <w:rPr>
                <w:rFonts w:ascii="Calibri" w:hAnsi="Calibri"/>
                <w:sz w:val="22"/>
              </w:rPr>
              <w:t>Low-teens sequential increase from Q1</w:t>
            </w:r>
          </w:p>
        </w:tc>
        <w:tc>
          <w:tcPr>
            <w:tcW w:type="dxa" w:w="1234"/>
          </w:tcPr>
          <w:p>
            <w:r>
              <w:rPr>
                <w:rFonts w:ascii="Calibri" w:hAnsi="Calibri"/>
                <w:sz w:val="22"/>
              </w:rPr>
              <w:t>~+2.5% vs. implied mid</w:t>
            </w:r>
          </w:p>
        </w:tc>
      </w:tr>
      <w:tr>
        <w:tc>
          <w:tcPr>
            <w:tcW w:type="dxa" w:w="1234"/>
          </w:tcPr>
          <w:p>
            <w:r>
              <w:rPr>
                <w:rFonts w:ascii="Calibri" w:hAnsi="Calibri"/>
                <w:sz w:val="22"/>
              </w:rPr>
              <w:t>Orders ($B)</w:t>
            </w:r>
          </w:p>
        </w:tc>
        <w:tc>
          <w:tcPr>
            <w:tcW w:type="dxa" w:w="1234"/>
          </w:tcPr>
          <w:p>
            <w:r>
              <w:rPr>
                <w:rFonts w:ascii="Calibri" w:hAnsi="Calibri"/>
                <w:sz w:val="22"/>
              </w:rPr>
              <w:t>$9.435B (record)</w:t>
            </w:r>
          </w:p>
        </w:tc>
        <w:tc>
          <w:tcPr>
            <w:tcW w:type="dxa" w:w="1234"/>
          </w:tcPr>
          <w:p>
            <w:r>
              <w:rPr>
                <w:rFonts w:ascii="Calibri" w:hAnsi="Calibri"/>
                <w:sz w:val="22"/>
              </w:rPr>
              <w:t>$5.523B</w:t>
            </w:r>
          </w:p>
        </w:tc>
        <w:tc>
          <w:tcPr>
            <w:tcW w:type="dxa" w:w="1234"/>
          </w:tcPr>
          <w:p>
            <w:r>
              <w:rPr>
                <w:rFonts w:ascii="Calibri" w:hAnsi="Calibri"/>
                <w:sz w:val="22"/>
              </w:rPr>
              <w:t>$9.672B</w:t>
            </w:r>
          </w:p>
        </w:tc>
        <w:tc>
          <w:tcPr>
            <w:tcW w:type="dxa" w:w="1234"/>
          </w:tcPr>
          <w:p>
            <w:r>
              <w:rPr>
                <w:rFonts w:ascii="Calibri" w:hAnsi="Calibri"/>
                <w:b/>
                <w:color w:val="30A46C"/>
                <w:sz w:val="22"/>
              </w:rPr>
              <w:t>+75.1%</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Book-to-Bill (x)</w:t>
            </w:r>
          </w:p>
        </w:tc>
        <w:tc>
          <w:tcPr>
            <w:tcW w:type="dxa" w:w="1234"/>
          </w:tcPr>
          <w:p>
            <w:r>
              <w:rPr>
                <w:rFonts w:ascii="Calibri" w:hAnsi="Calibri"/>
                <w:sz w:val="22"/>
              </w:rPr>
              <w:t>1.24x (record)</w:t>
            </w:r>
          </w:p>
        </w:tc>
        <w:tc>
          <w:tcPr>
            <w:tcW w:type="dxa" w:w="1234"/>
          </w:tcPr>
          <w:p>
            <w:r>
              <w:rPr>
                <w:rFonts w:ascii="Calibri" w:hAnsi="Calibri"/>
                <w:sz w:val="22"/>
              </w:rPr>
              <w:t>0.98x</w:t>
            </w:r>
          </w:p>
        </w:tc>
        <w:tc>
          <w:tcPr>
            <w:tcW w:type="dxa" w:w="1234"/>
          </w:tcPr>
          <w:p>
            <w:r>
              <w:rPr>
                <w:rFonts w:ascii="Calibri" w:hAnsi="Calibri"/>
                <w:sz w:val="22"/>
              </w:rPr>
              <w:t>1.15x</w:t>
            </w:r>
          </w:p>
        </w:tc>
        <w:tc>
          <w:tcPr>
            <w:tcW w:type="dxa" w:w="1234"/>
          </w:tcPr>
          <w:p>
            <w:r>
              <w:rPr>
                <w:rFonts w:ascii="Calibri" w:hAnsi="Calibri"/>
                <w:sz w:val="22"/>
              </w:rPr>
              <w:t>N/A</w:t>
            </w:r>
          </w:p>
        </w:tc>
        <w:tc>
          <w:tcPr>
            <w:tcW w:type="dxa" w:w="1234"/>
          </w:tcPr>
          <w:p>
            <w:r>
              <w:rPr>
                <w:rFonts w:ascii="Calibri" w:hAnsi="Calibri"/>
                <w:sz w:val="22"/>
              </w:rPr>
              <w:t>N/A — not guided</w:t>
            </w:r>
          </w:p>
        </w:tc>
        <w:tc>
          <w:tcPr>
            <w:tcW w:type="dxa" w:w="1234"/>
          </w:tcPr>
          <w:p>
            <w:r>
              <w:rPr>
                <w:rFonts w:ascii="Calibri" w:hAnsi="Calibri"/>
                <w:sz w:val="22"/>
              </w:rPr>
              <w:t>N/A</w:t>
            </w:r>
          </w:p>
        </w:tc>
      </w:tr>
      <w:tr>
        <w:tc>
          <w:tcPr>
            <w:tcW w:type="dxa" w:w="1234"/>
          </w:tcPr>
          <w:p>
            <w:r>
              <w:rPr>
                <w:rFonts w:ascii="Calibri" w:hAnsi="Calibri"/>
                <w:sz w:val="22"/>
              </w:rPr>
              <w:t>Organic Growth (%)</w:t>
            </w:r>
          </w:p>
        </w:tc>
        <w:tc>
          <w:tcPr>
            <w:tcW w:type="dxa" w:w="1234"/>
          </w:tcPr>
          <w:p>
            <w:r>
              <w:rPr>
                <w:rFonts w:ascii="Calibri" w:hAnsi="Calibri"/>
                <w:sz w:val="22"/>
              </w:rPr>
              <w:t>33%</w:t>
            </w:r>
          </w:p>
        </w:tc>
        <w:tc>
          <w:tcPr>
            <w:tcW w:type="dxa" w:w="1234"/>
          </w:tcPr>
          <w:p>
            <w:r>
              <w:rPr>
                <w:rFonts w:ascii="Calibri" w:hAnsi="Calibri"/>
                <w:sz w:val="22"/>
              </w:rPr>
              <w:t>41%</w:t>
            </w:r>
          </w:p>
        </w:tc>
        <w:tc>
          <w:tcPr>
            <w:tcW w:type="dxa" w:w="1234"/>
          </w:tcPr>
          <w:p>
            <w:r>
              <w:rPr>
                <w:rFonts w:ascii="Calibri" w:hAnsi="Calibri"/>
                <w:sz w:val="22"/>
              </w:rPr>
              <w:t>25.5%</w:t>
            </w:r>
          </w:p>
        </w:tc>
        <w:tc>
          <w:tcPr>
            <w:tcW w:type="dxa" w:w="1234"/>
          </w:tcPr>
          <w:p>
            <w:r>
              <w:rPr>
                <w:rFonts w:ascii="Calibri" w:hAnsi="Calibri"/>
                <w:sz w:val="22"/>
              </w:rPr>
              <w:t>N/A (mix shift from CommScope)</w:t>
            </w:r>
          </w:p>
        </w:tc>
        <w:tc>
          <w:tcPr>
            <w:tcW w:type="dxa" w:w="1234"/>
          </w:tcPr>
          <w:p>
            <w:r>
              <w:rPr>
                <w:rFonts w:ascii="Calibri" w:hAnsi="Calibri"/>
                <w:sz w:val="22"/>
              </w:rPr>
              <w:t>N/A — not guided</w:t>
            </w:r>
          </w:p>
        </w:tc>
        <w:tc>
          <w:tcPr>
            <w:tcW w:type="dxa" w:w="1234"/>
          </w:tcPr>
          <w:p>
            <w:r>
              <w:rPr>
                <w:rFonts w:ascii="Calibri" w:hAnsi="Calibri"/>
                <w:sz w:val="22"/>
              </w:rPr>
              <w:t>N/A</w:t>
            </w:r>
          </w:p>
        </w:tc>
      </w:tr>
    </w:tbl>
    <w:p>
      <w:r>
        <w:rPr>
          <w:rFonts w:ascii="Calibri" w:hAnsi="Calibri"/>
          <w:i/>
          <w:color w:val="525866"/>
          <w:sz w:val="22"/>
        </w:rPr>
        <w:t>Source: Visible Alpha consensus and actuals; APH Q1 2026 earnings call (April 29, 2026). Consensus as of July 28, 2026. Q2 2025 and Q1 2026 actuals from Visible Alpha. Guidance from Q1 2026 earnings call.</w:t>
      </w:r>
    </w:p>
    <w:p>
      <w:pPr>
        <w:pStyle w:val="Heading3"/>
      </w:pPr>
      <w:r>
        <w:rPr>
          <w:rFonts w:ascii="Calibri" w:hAnsi="Calibri"/>
          <w:b/>
          <w:color w:val="3B4259"/>
          <w:sz w:val="24"/>
        </w:rPr>
        <w:t>Table 2 — Beat/Miss History (Last 8 Quarters, Top 2 KPIs)</w:t>
      </w:r>
    </w:p>
    <w:p>
      <w:r>
        <w:rPr>
          <w:rFonts w:ascii="Calibri" w:hAnsi="Calibri"/>
          <w:b/>
          <w:color w:val="525866"/>
          <w:sz w:val="22"/>
        </w:rPr>
        <w:t>Top KPI #1: Net Sales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$7.621B</w:t>
            </w:r>
          </w:p>
        </w:tc>
        <w:tc>
          <w:tcPr>
            <w:tcW w:type="dxa" w:w="1728"/>
          </w:tcPr>
          <w:p>
            <w:r>
              <w:rPr>
                <w:rFonts w:ascii="Calibri" w:hAnsi="Calibri"/>
                <w:sz w:val="22"/>
              </w:rPr>
              <w:t>$7.121B</w:t>
            </w:r>
          </w:p>
        </w:tc>
        <w:tc>
          <w:tcPr>
            <w:tcW w:type="dxa" w:w="1728"/>
          </w:tcPr>
          <w:p>
            <w:r>
              <w:rPr>
                <w:rFonts w:ascii="Calibri" w:hAnsi="Calibri"/>
                <w:sz w:val="22"/>
              </w:rPr>
              <w:t>+7.0%</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$6.439B</w:t>
            </w:r>
          </w:p>
        </w:tc>
        <w:tc>
          <w:tcPr>
            <w:tcW w:type="dxa" w:w="1728"/>
          </w:tcPr>
          <w:p>
            <w:r>
              <w:rPr>
                <w:rFonts w:ascii="Calibri" w:hAnsi="Calibri"/>
                <w:sz w:val="22"/>
              </w:rPr>
              <w:t>$6.234B</w:t>
            </w:r>
          </w:p>
        </w:tc>
        <w:tc>
          <w:tcPr>
            <w:tcW w:type="dxa" w:w="1728"/>
          </w:tcPr>
          <w:p>
            <w:r>
              <w:rPr>
                <w:rFonts w:ascii="Calibri" w:hAnsi="Calibri"/>
                <w:sz w:val="22"/>
              </w:rPr>
              <w:t>+3.3%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$6.194B</w:t>
            </w:r>
          </w:p>
        </w:tc>
        <w:tc>
          <w:tcPr>
            <w:tcW w:type="dxa" w:w="1728"/>
          </w:tcPr>
          <w:p>
            <w:r>
              <w:rPr>
                <w:rFonts w:ascii="Calibri" w:hAnsi="Calibri"/>
                <w:sz w:val="22"/>
              </w:rPr>
              <w:t>$5.585B</w:t>
            </w:r>
          </w:p>
        </w:tc>
        <w:tc>
          <w:tcPr>
            <w:tcW w:type="dxa" w:w="1728"/>
          </w:tcPr>
          <w:p>
            <w:r>
              <w:rPr>
                <w:rFonts w:ascii="Calibri" w:hAnsi="Calibri"/>
                <w:sz w:val="22"/>
              </w:rPr>
              <w:t>+10.9%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$5.650B</w:t>
            </w:r>
          </w:p>
        </w:tc>
        <w:tc>
          <w:tcPr>
            <w:tcW w:type="dxa" w:w="1728"/>
          </w:tcPr>
          <w:p>
            <w:r>
              <w:rPr>
                <w:rFonts w:ascii="Calibri" w:hAnsi="Calibri"/>
                <w:sz w:val="22"/>
              </w:rPr>
              <w:t>$5.050B</w:t>
            </w:r>
          </w:p>
        </w:tc>
        <w:tc>
          <w:tcPr>
            <w:tcW w:type="dxa" w:w="1728"/>
          </w:tcPr>
          <w:p>
            <w:r>
              <w:rPr>
                <w:rFonts w:ascii="Calibri" w:hAnsi="Calibri"/>
                <w:sz w:val="22"/>
              </w:rPr>
              <w:t>+11.9%</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$4.811B</w:t>
            </w:r>
          </w:p>
        </w:tc>
        <w:tc>
          <w:tcPr>
            <w:tcW w:type="dxa" w:w="1728"/>
          </w:tcPr>
          <w:p>
            <w:r>
              <w:rPr>
                <w:rFonts w:ascii="Calibri" w:hAnsi="Calibri"/>
                <w:sz w:val="22"/>
              </w:rPr>
              <w:t>$4.288B</w:t>
            </w:r>
          </w:p>
        </w:tc>
        <w:tc>
          <w:tcPr>
            <w:tcW w:type="dxa" w:w="1728"/>
          </w:tcPr>
          <w:p>
            <w:r>
              <w:rPr>
                <w:rFonts w:ascii="Calibri" w:hAnsi="Calibri"/>
                <w:sz w:val="22"/>
              </w:rPr>
              <w:t>+12.2%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$4.318B</w:t>
            </w:r>
          </w:p>
        </w:tc>
        <w:tc>
          <w:tcPr>
            <w:tcW w:type="dxa" w:w="1728"/>
          </w:tcPr>
          <w:p>
            <w:r>
              <w:rPr>
                <w:rFonts w:ascii="Calibri" w:hAnsi="Calibri"/>
                <w:sz w:val="22"/>
              </w:rPr>
              <w:t>$4.083B</w:t>
            </w:r>
          </w:p>
        </w:tc>
        <w:tc>
          <w:tcPr>
            <w:tcW w:type="dxa" w:w="1728"/>
          </w:tcPr>
          <w:p>
            <w:r>
              <w:rPr>
                <w:rFonts w:ascii="Calibri" w:hAnsi="Calibri"/>
                <w:sz w:val="22"/>
              </w:rPr>
              <w:t>+5.8%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$4.039B</w:t>
            </w:r>
          </w:p>
        </w:tc>
        <w:tc>
          <w:tcPr>
            <w:tcW w:type="dxa" w:w="1728"/>
          </w:tcPr>
          <w:p>
            <w:r>
              <w:rPr>
                <w:rFonts w:ascii="Calibri" w:hAnsi="Calibri"/>
                <w:sz w:val="22"/>
              </w:rPr>
              <w:t>$3.809B</w:t>
            </w:r>
          </w:p>
        </w:tc>
        <w:tc>
          <w:tcPr>
            <w:tcW w:type="dxa" w:w="1728"/>
          </w:tcPr>
          <w:p>
            <w:r>
              <w:rPr>
                <w:rFonts w:ascii="Calibri" w:hAnsi="Calibri"/>
                <w:sz w:val="22"/>
              </w:rPr>
              <w:t>+6.0%</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$3.610B</w:t>
            </w:r>
          </w:p>
        </w:tc>
        <w:tc>
          <w:tcPr>
            <w:tcW w:type="dxa" w:w="1728"/>
          </w:tcPr>
          <w:p>
            <w:r>
              <w:rPr>
                <w:rFonts w:ascii="Calibri" w:hAnsi="Calibri"/>
                <w:sz w:val="22"/>
              </w:rPr>
              <w:t>$3.392B</w:t>
            </w:r>
          </w:p>
        </w:tc>
        <w:tc>
          <w:tcPr>
            <w:tcW w:type="dxa" w:w="1728"/>
          </w:tcPr>
          <w:p>
            <w:r>
              <w:rPr>
                <w:rFonts w:ascii="Calibri" w:hAnsi="Calibri"/>
                <w:sz w:val="22"/>
              </w:rPr>
              <w:t>+6.4%</w:t>
            </w:r>
          </w:p>
        </w:tc>
        <w:tc>
          <w:tcPr>
            <w:tcW w:type="dxa" w:w="1728"/>
          </w:tcPr>
          <w:p>
            <w:r>
              <w:rPr>
                <w:rFonts w:ascii="Calibri" w:hAnsi="Calibri"/>
                <w:b/>
                <w:color w:val="30A46C"/>
                <w:sz w:val="22"/>
              </w:rPr>
              <w:t>BEAT</w:t>
            </w:r>
          </w:p>
        </w:tc>
      </w:tr>
    </w:tbl>
    <w:p>
      <w:r>
        <w:rPr>
          <w:rFonts w:ascii="Calibri" w:hAnsi="Calibri"/>
          <w:b/>
          <w:color w:val="525866"/>
          <w:sz w:val="22"/>
        </w:rPr>
        <w:t>Top KPI #2: Adj. EPS —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$1.06</w:t>
            </w:r>
          </w:p>
        </w:tc>
        <w:tc>
          <w:tcPr>
            <w:tcW w:type="dxa" w:w="1728"/>
          </w:tcPr>
          <w:p>
            <w:r>
              <w:rPr>
                <w:rFonts w:ascii="Calibri" w:hAnsi="Calibri"/>
                <w:sz w:val="22"/>
              </w:rPr>
              <w:t>$0.949</w:t>
            </w:r>
          </w:p>
        </w:tc>
        <w:tc>
          <w:tcPr>
            <w:tcW w:type="dxa" w:w="1728"/>
          </w:tcPr>
          <w:p>
            <w:r>
              <w:rPr>
                <w:rFonts w:ascii="Calibri" w:hAnsi="Calibri"/>
                <w:sz w:val="22"/>
              </w:rPr>
              <w:t>+11.7%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$0.97</w:t>
            </w:r>
          </w:p>
        </w:tc>
        <w:tc>
          <w:tcPr>
            <w:tcW w:type="dxa" w:w="1728"/>
          </w:tcPr>
          <w:p>
            <w:r>
              <w:rPr>
                <w:rFonts w:ascii="Calibri" w:hAnsi="Calibri"/>
                <w:sz w:val="22"/>
              </w:rPr>
              <w:t>$0.941</w:t>
            </w:r>
          </w:p>
        </w:tc>
        <w:tc>
          <w:tcPr>
            <w:tcW w:type="dxa" w:w="1728"/>
          </w:tcPr>
          <w:p>
            <w:r>
              <w:rPr>
                <w:rFonts w:ascii="Calibri" w:hAnsi="Calibri"/>
                <w:sz w:val="22"/>
              </w:rPr>
              <w:t>+3.1%</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$0.927</w:t>
            </w:r>
          </w:p>
        </w:tc>
        <w:tc>
          <w:tcPr>
            <w:tcW w:type="dxa" w:w="1728"/>
          </w:tcPr>
          <w:p>
            <w:r>
              <w:rPr>
                <w:rFonts w:ascii="Calibri" w:hAnsi="Calibri"/>
                <w:sz w:val="22"/>
              </w:rPr>
              <w:t>$0.804</w:t>
            </w:r>
          </w:p>
        </w:tc>
        <w:tc>
          <w:tcPr>
            <w:tcW w:type="dxa" w:w="1728"/>
          </w:tcPr>
          <w:p>
            <w:r>
              <w:rPr>
                <w:rFonts w:ascii="Calibri" w:hAnsi="Calibri"/>
                <w:sz w:val="22"/>
              </w:rPr>
              <w:t>+15.3%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$0.81</w:t>
            </w:r>
          </w:p>
        </w:tc>
        <w:tc>
          <w:tcPr>
            <w:tcW w:type="dxa" w:w="1728"/>
          </w:tcPr>
          <w:p>
            <w:r>
              <w:rPr>
                <w:rFonts w:ascii="Calibri" w:hAnsi="Calibri"/>
                <w:sz w:val="22"/>
              </w:rPr>
              <w:t>$0.668</w:t>
            </w:r>
          </w:p>
        </w:tc>
        <w:tc>
          <w:tcPr>
            <w:tcW w:type="dxa" w:w="1728"/>
          </w:tcPr>
          <w:p>
            <w:r>
              <w:rPr>
                <w:rFonts w:ascii="Calibri" w:hAnsi="Calibri"/>
                <w:sz w:val="22"/>
              </w:rPr>
              <w:t>+21.3%</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$0.63</w:t>
            </w:r>
          </w:p>
        </w:tc>
        <w:tc>
          <w:tcPr>
            <w:tcW w:type="dxa" w:w="1728"/>
          </w:tcPr>
          <w:p>
            <w:r>
              <w:rPr>
                <w:rFonts w:ascii="Calibri" w:hAnsi="Calibri"/>
                <w:sz w:val="22"/>
              </w:rPr>
              <w:t>$0.524</w:t>
            </w:r>
          </w:p>
        </w:tc>
        <w:tc>
          <w:tcPr>
            <w:tcW w:type="dxa" w:w="1728"/>
          </w:tcPr>
          <w:p>
            <w:r>
              <w:rPr>
                <w:rFonts w:ascii="Calibri" w:hAnsi="Calibri"/>
                <w:sz w:val="22"/>
              </w:rPr>
              <w:t>+20.2%</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$0.55</w:t>
            </w:r>
          </w:p>
        </w:tc>
        <w:tc>
          <w:tcPr>
            <w:tcW w:type="dxa" w:w="1728"/>
          </w:tcPr>
          <w:p>
            <w:r>
              <w:rPr>
                <w:rFonts w:ascii="Calibri" w:hAnsi="Calibri"/>
                <w:sz w:val="22"/>
              </w:rPr>
              <w:t>$0.505</w:t>
            </w:r>
          </w:p>
        </w:tc>
        <w:tc>
          <w:tcPr>
            <w:tcW w:type="dxa" w:w="1728"/>
          </w:tcPr>
          <w:p>
            <w:r>
              <w:rPr>
                <w:rFonts w:ascii="Calibri" w:hAnsi="Calibri"/>
                <w:sz w:val="22"/>
              </w:rPr>
              <w:t>+8.9%</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$0.50</w:t>
            </w:r>
          </w:p>
        </w:tc>
        <w:tc>
          <w:tcPr>
            <w:tcW w:type="dxa" w:w="1728"/>
          </w:tcPr>
          <w:p>
            <w:r>
              <w:rPr>
                <w:rFonts w:ascii="Calibri" w:hAnsi="Calibri"/>
                <w:sz w:val="22"/>
              </w:rPr>
              <w:t>$0.452</w:t>
            </w:r>
          </w:p>
        </w:tc>
        <w:tc>
          <w:tcPr>
            <w:tcW w:type="dxa" w:w="1728"/>
          </w:tcPr>
          <w:p>
            <w:r>
              <w:rPr>
                <w:rFonts w:ascii="Calibri" w:hAnsi="Calibri"/>
                <w:sz w:val="22"/>
              </w:rPr>
              <w:t>+10.6%</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$0.44</w:t>
            </w:r>
          </w:p>
        </w:tc>
        <w:tc>
          <w:tcPr>
            <w:tcW w:type="dxa" w:w="1728"/>
          </w:tcPr>
          <w:p>
            <w:r>
              <w:rPr>
                <w:rFonts w:ascii="Calibri" w:hAnsi="Calibri"/>
                <w:sz w:val="22"/>
              </w:rPr>
              <w:t>$0.408</w:t>
            </w:r>
          </w:p>
        </w:tc>
        <w:tc>
          <w:tcPr>
            <w:tcW w:type="dxa" w:w="1728"/>
          </w:tcPr>
          <w:p>
            <w:r>
              <w:rPr>
                <w:rFonts w:ascii="Calibri" w:hAnsi="Calibri"/>
                <w:sz w:val="22"/>
              </w:rPr>
              <w:t>+7.8%</w:t>
            </w:r>
          </w:p>
        </w:tc>
        <w:tc>
          <w:tcPr>
            <w:tcW w:type="dxa" w:w="1728"/>
          </w:tcPr>
          <w:p>
            <w:r>
              <w:rPr>
                <w:rFonts w:ascii="Calibri" w:hAnsi="Calibri"/>
                <w:b/>
                <w:color w:val="30A46C"/>
                <w:sz w:val="22"/>
              </w:rPr>
              <w:t>BEAT</w:t>
            </w:r>
          </w:p>
        </w:tc>
      </w:tr>
    </w:tbl>
    <w:p>
      <w:r>
        <w:rPr>
          <w:rFonts w:ascii="Calibri" w:hAnsi="Calibri"/>
          <w:i/>
          <w:color w:val="525866"/>
          <w:sz w:val="22"/>
        </w:rPr>
        <w:t>APH has beaten consensus on both revenue and adj. EPS in each of the last 8 consecutive quarters, with an average revenue beat of ~8% and an average adj. EPS beat of ~12% — the Street has consistently underestimated APH's execution, particularly in IT datacom.</w:t>
      </w:r>
    </w:p>
    <w:p>
      <w:r>
        <w:rPr>
          <w:rFonts w:ascii="Calibri" w:hAnsi="Calibri"/>
          <w:i/>
          <w:color w:val="525866"/>
          <w:sz w:val="22"/>
        </w:rPr>
        <w:t>Source: Visible Alpha consensus and actuals.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Guidance has not been formally revised since the Q1 2026 earnings call — the Q2 revenue and EPS ranges issued on April 29 remain the operative baseline. Management tone is the most confident in years, with no post-earnings 8-K guidance changes; the only notable post-earnings capital markets event was a €1.1B senior notes offering in May 2026.</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29)</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Net Sales</w:t>
            </w:r>
          </w:p>
        </w:tc>
        <w:tc>
          <w:tcPr>
            <w:tcW w:type="dxa" w:w="1728"/>
          </w:tcPr>
          <w:p>
            <w:r>
              <w:rPr>
                <w:rFonts w:ascii="Calibri" w:hAnsi="Calibri"/>
                <w:sz w:val="22"/>
              </w:rPr>
              <w:t>$8.10B – $8.20B</w:t>
            </w:r>
          </w:p>
        </w:tc>
        <w:tc>
          <w:tcPr>
            <w:tcW w:type="dxa" w:w="1728"/>
          </w:tcPr>
          <w:p>
            <w:r>
              <w:rPr>
                <w:rFonts w:ascii="Calibri" w:hAnsi="Calibri"/>
                <w:sz w:val="22"/>
              </w:rPr>
              <w:t>—</w:t>
            </w:r>
          </w:p>
        </w:tc>
        <w:tc>
          <w:tcPr>
            <w:tcW w:type="dxa" w:w="1728"/>
          </w:tcPr>
          <w:p>
            <w:r>
              <w:rPr>
                <w:rFonts w:ascii="Calibri" w:hAnsi="Calibri"/>
                <w:sz w:val="22"/>
              </w:rPr>
              <w:t>$8.292B</w:t>
            </w:r>
          </w:p>
        </w:tc>
        <w:tc>
          <w:tcPr>
            <w:tcW w:type="dxa" w:w="1728"/>
          </w:tcPr>
          <w:p>
            <w:r>
              <w:rPr>
                <w:rFonts w:ascii="Calibri" w:hAnsi="Calibri"/>
                <w:sz w:val="22"/>
              </w:rPr>
              <w:t>No post-earnings revision; consensus sits ~1.7% above midpoint</w:t>
            </w:r>
          </w:p>
        </w:tc>
      </w:tr>
      <w:tr>
        <w:tc>
          <w:tcPr>
            <w:tcW w:type="dxa" w:w="1728"/>
          </w:tcPr>
          <w:p>
            <w:r>
              <w:rPr>
                <w:rFonts w:ascii="Calibri" w:hAnsi="Calibri"/>
                <w:sz w:val="22"/>
              </w:rPr>
              <w:t>Q2 2026 Adj. Diluted EPS</w:t>
            </w:r>
          </w:p>
        </w:tc>
        <w:tc>
          <w:tcPr>
            <w:tcW w:type="dxa" w:w="1728"/>
          </w:tcPr>
          <w:p>
            <w:r>
              <w:rPr>
                <w:rFonts w:ascii="Calibri" w:hAnsi="Calibri"/>
                <w:sz w:val="22"/>
              </w:rPr>
              <w:t>$1.14 – $1.16</w:t>
            </w:r>
          </w:p>
        </w:tc>
        <w:tc>
          <w:tcPr>
            <w:tcW w:type="dxa" w:w="1728"/>
          </w:tcPr>
          <w:p>
            <w:r>
              <w:rPr>
                <w:rFonts w:ascii="Calibri" w:hAnsi="Calibri"/>
                <w:sz w:val="22"/>
              </w:rPr>
              <w:t>—</w:t>
            </w:r>
          </w:p>
        </w:tc>
        <w:tc>
          <w:tcPr>
            <w:tcW w:type="dxa" w:w="1728"/>
          </w:tcPr>
          <w:p>
            <w:r>
              <w:rPr>
                <w:rFonts w:ascii="Calibri" w:hAnsi="Calibri"/>
                <w:sz w:val="22"/>
              </w:rPr>
              <w:t>$1.183</w:t>
            </w:r>
          </w:p>
        </w:tc>
        <w:tc>
          <w:tcPr>
            <w:tcW w:type="dxa" w:w="1728"/>
          </w:tcPr>
          <w:p>
            <w:r>
              <w:rPr>
                <w:rFonts w:ascii="Calibri" w:hAnsi="Calibri"/>
                <w:sz w:val="22"/>
              </w:rPr>
              <w:t>No post-earnings revision; consensus ~2.9% above midpoint</w:t>
            </w:r>
          </w:p>
        </w:tc>
      </w:tr>
      <w:tr>
        <w:tc>
          <w:tcPr>
            <w:tcW w:type="dxa" w:w="1728"/>
          </w:tcPr>
          <w:p>
            <w:r>
              <w:rPr>
                <w:rFonts w:ascii="Calibri" w:hAnsi="Calibri"/>
                <w:sz w:val="22"/>
              </w:rPr>
              <w:t>Q2 2026 Adj. Operating Margin</w:t>
            </w:r>
          </w:p>
        </w:tc>
        <w:tc>
          <w:tcPr>
            <w:tcW w:type="dxa" w:w="1728"/>
          </w:tcPr>
          <w:p>
            <w:r>
              <w:rPr>
                <w:rFonts w:ascii="Calibri" w:hAnsi="Calibri"/>
                <w:sz w:val="22"/>
              </w:rPr>
              <w:t>"Strong margins" (no specific %)</w:t>
            </w:r>
          </w:p>
        </w:tc>
        <w:tc>
          <w:tcPr>
            <w:tcW w:type="dxa" w:w="1728"/>
          </w:tcPr>
          <w:p>
            <w:r>
              <w:rPr>
                <w:rFonts w:ascii="Calibri" w:hAnsi="Calibri"/>
                <w:sz w:val="22"/>
              </w:rPr>
              <w:t>—</w:t>
            </w:r>
          </w:p>
        </w:tc>
        <w:tc>
          <w:tcPr>
            <w:tcW w:type="dxa" w:w="1728"/>
          </w:tcPr>
          <w:p>
            <w:r>
              <w:rPr>
                <w:rFonts w:ascii="Calibri" w:hAnsi="Calibri"/>
                <w:sz w:val="22"/>
              </w:rPr>
              <w:t>~27.7%</w:t>
            </w:r>
          </w:p>
        </w:tc>
        <w:tc>
          <w:tcPr>
            <w:tcW w:type="dxa" w:w="1728"/>
          </w:tcPr>
          <w:p>
            <w:r>
              <w:rPr>
                <w:rFonts w:ascii="Calibri" w:hAnsi="Calibri"/>
                <w:sz w:val="22"/>
              </w:rPr>
              <w:t>Qualitative only; consensus implies modest YoY expansion</w:t>
            </w:r>
          </w:p>
        </w:tc>
      </w:tr>
      <w:tr>
        <w:tc>
          <w:tcPr>
            <w:tcW w:type="dxa" w:w="1728"/>
          </w:tcPr>
          <w:p>
            <w:r>
              <w:rPr>
                <w:rFonts w:ascii="Calibri" w:hAnsi="Calibri"/>
                <w:sz w:val="22"/>
              </w:rPr>
              <w:t>IT Datacom Q2 Sequential Growth</w:t>
            </w:r>
          </w:p>
        </w:tc>
        <w:tc>
          <w:tcPr>
            <w:tcW w:type="dxa" w:w="1728"/>
          </w:tcPr>
          <w:p>
            <w:r>
              <w:rPr>
                <w:rFonts w:ascii="Calibri" w:hAnsi="Calibri"/>
                <w:sz w:val="22"/>
              </w:rPr>
              <w:t>"Low-teens" sequential increase</w:t>
            </w:r>
          </w:p>
        </w:tc>
        <w:tc>
          <w:tcPr>
            <w:tcW w:type="dxa" w:w="1728"/>
          </w:tcPr>
          <w:p>
            <w:r>
              <w:rPr>
                <w:rFonts w:ascii="Calibri" w:hAnsi="Calibri"/>
                <w:sz w:val="22"/>
              </w:rPr>
              <w:t>—</w:t>
            </w:r>
          </w:p>
        </w:tc>
        <w:tc>
          <w:tcPr>
            <w:tcW w:type="dxa" w:w="1728"/>
          </w:tcPr>
          <w:p>
            <w:r>
              <w:rPr>
                <w:rFonts w:ascii="Calibri" w:hAnsi="Calibri"/>
                <w:sz w:val="22"/>
              </w:rPr>
              <w:t>~+15% implied by consensus</w:t>
            </w:r>
          </w:p>
        </w:tc>
        <w:tc>
          <w:tcPr>
            <w:tcW w:type="dxa" w:w="1728"/>
          </w:tcPr>
          <w:p>
            <w:r>
              <w:rPr>
                <w:rFonts w:ascii="Calibri" w:hAnsi="Calibri"/>
                <w:sz w:val="22"/>
              </w:rPr>
              <w:t>Consensus slightly above guided range; key upside lever</w:t>
            </w:r>
          </w:p>
        </w:tc>
      </w:tr>
      <w:tr>
        <w:tc>
          <w:tcPr>
            <w:tcW w:type="dxa" w:w="1728"/>
          </w:tcPr>
          <w:p>
            <w:r>
              <w:rPr>
                <w:rFonts w:ascii="Calibri" w:hAnsi="Calibri"/>
                <w:sz w:val="22"/>
              </w:rPr>
              <w:t>Defense Q2 Sequential Growth</w:t>
            </w:r>
          </w:p>
        </w:tc>
        <w:tc>
          <w:tcPr>
            <w:tcW w:type="dxa" w:w="1728"/>
          </w:tcPr>
          <w:p>
            <w:r>
              <w:rPr>
                <w:rFonts w:ascii="Calibri" w:hAnsi="Calibri"/>
                <w:sz w:val="22"/>
              </w:rPr>
              <w:t>"High single-digit" sequential increase</w:t>
            </w:r>
          </w:p>
        </w:tc>
        <w:tc>
          <w:tcPr>
            <w:tcW w:type="dxa" w:w="1728"/>
          </w:tcPr>
          <w:p>
            <w:r>
              <w:rPr>
                <w:rFonts w:ascii="Calibri" w:hAnsi="Calibri"/>
                <w:sz w:val="22"/>
              </w:rPr>
              <w:t>—</w:t>
            </w:r>
          </w:p>
        </w:tc>
        <w:tc>
          <w:tcPr>
            <w:tcW w:type="dxa" w:w="1728"/>
          </w:tcPr>
          <w:p>
            <w:r>
              <w:rPr>
                <w:rFonts w:ascii="Calibri" w:hAnsi="Calibri"/>
                <w:sz w:val="22"/>
              </w:rPr>
              <w:t>N/A — not separately tracked</w:t>
            </w:r>
          </w:p>
        </w:tc>
        <w:tc>
          <w:tcPr>
            <w:tcW w:type="dxa" w:w="1728"/>
          </w:tcPr>
          <w:p>
            <w:r>
              <w:rPr>
                <w:rFonts w:ascii="Calibri" w:hAnsi="Calibri"/>
                <w:sz w:val="22"/>
              </w:rPr>
              <w:t>Broad-based geopolitical tailwinds; management very confident</w:t>
            </w:r>
          </w:p>
        </w:tc>
      </w:tr>
      <w:tr>
        <w:tc>
          <w:tcPr>
            <w:tcW w:type="dxa" w:w="1728"/>
          </w:tcPr>
          <w:p>
            <w:r>
              <w:rPr>
                <w:rFonts w:ascii="Calibri" w:hAnsi="Calibri"/>
                <w:sz w:val="22"/>
              </w:rPr>
              <w:t>Industrial Q2 Sequential Growth</w:t>
            </w:r>
          </w:p>
        </w:tc>
        <w:tc>
          <w:tcPr>
            <w:tcW w:type="dxa" w:w="1728"/>
          </w:tcPr>
          <w:p>
            <w:r>
              <w:rPr>
                <w:rFonts w:ascii="Calibri" w:hAnsi="Calibri"/>
                <w:sz w:val="22"/>
              </w:rPr>
              <w:t>"High single-digit" increase from Q1</w:t>
            </w:r>
          </w:p>
        </w:tc>
        <w:tc>
          <w:tcPr>
            <w:tcW w:type="dxa" w:w="1728"/>
          </w:tcPr>
          <w:p>
            <w:r>
              <w:rPr>
                <w:rFonts w:ascii="Calibri" w:hAnsi="Calibri"/>
                <w:sz w:val="22"/>
              </w:rPr>
              <w:t>—</w:t>
            </w:r>
          </w:p>
        </w:tc>
        <w:tc>
          <w:tcPr>
            <w:tcW w:type="dxa" w:w="1728"/>
          </w:tcPr>
          <w:p>
            <w:r>
              <w:rPr>
                <w:rFonts w:ascii="Calibri" w:hAnsi="Calibri"/>
                <w:sz w:val="22"/>
              </w:rPr>
              <w:t>N/A — not separately tracked</w:t>
            </w:r>
          </w:p>
        </w:tc>
        <w:tc>
          <w:tcPr>
            <w:tcW w:type="dxa" w:w="1728"/>
          </w:tcPr>
          <w:p>
            <w:r>
              <w:rPr>
                <w:rFonts w:ascii="Calibri" w:hAnsi="Calibri"/>
                <w:sz w:val="22"/>
              </w:rPr>
              <w:t>CommScope building connectivity adds incremental tailwind</w:t>
            </w:r>
          </w:p>
        </w:tc>
      </w:tr>
      <w:tr>
        <w:tc>
          <w:tcPr>
            <w:tcW w:type="dxa" w:w="1728"/>
          </w:tcPr>
          <w:p>
            <w:r>
              <w:rPr>
                <w:rFonts w:ascii="Calibri" w:hAnsi="Calibri"/>
                <w:sz w:val="22"/>
              </w:rPr>
              <w:t>Adj. Effective Tax Rate (FY2026)</w:t>
            </w:r>
          </w:p>
        </w:tc>
        <w:tc>
          <w:tcPr>
            <w:tcW w:type="dxa" w:w="1728"/>
          </w:tcPr>
          <w:p>
            <w:r>
              <w:rPr>
                <w:rFonts w:ascii="Calibri" w:hAnsi="Calibri"/>
                <w:sz w:val="22"/>
              </w:rPr>
              <w:t>~27% (raised from prior ~24.5% due to China tax matter)</w:t>
            </w:r>
          </w:p>
        </w:tc>
        <w:tc>
          <w:tcPr>
            <w:tcW w:type="dxa" w:w="1728"/>
          </w:tcPr>
          <w:p>
            <w:r>
              <w:rPr>
                <w:rFonts w:ascii="Calibri" w:hAnsi="Calibri"/>
                <w:sz w:val="22"/>
              </w:rPr>
              <w:t>—</w:t>
            </w:r>
          </w:p>
        </w:tc>
        <w:tc>
          <w:tcPr>
            <w:tcW w:type="dxa" w:w="1728"/>
          </w:tcPr>
          <w:p>
            <w:r>
              <w:rPr>
                <w:rFonts w:ascii="Calibri" w:hAnsi="Calibri"/>
                <w:sz w:val="22"/>
              </w:rPr>
              <w:t>~27% assumed</w:t>
            </w:r>
          </w:p>
        </w:tc>
        <w:tc>
          <w:tcPr>
            <w:tcW w:type="dxa" w:w="1728"/>
          </w:tcPr>
          <w:p>
            <w:r>
              <w:rPr>
                <w:rFonts w:ascii="Calibri" w:hAnsi="Calibri"/>
                <w:sz w:val="22"/>
              </w:rPr>
              <w:t>Permanently higher for remainder of 2026; fully accrued in Q1</w:t>
            </w:r>
          </w:p>
        </w:tc>
      </w:tr>
      <w:tr>
        <w:tc>
          <w:tcPr>
            <w:tcW w:type="dxa" w:w="1728"/>
          </w:tcPr>
          <w:p>
            <w:r>
              <w:rPr>
                <w:rFonts w:ascii="Calibri" w:hAnsi="Calibri"/>
                <w:sz w:val="22"/>
              </w:rPr>
              <w:t>Net Interest Expense (quarterly)</w:t>
            </w:r>
          </w:p>
        </w:tc>
        <w:tc>
          <w:tcPr>
            <w:tcW w:type="dxa" w:w="1728"/>
          </w:tcPr>
          <w:p>
            <w:r>
              <w:rPr>
                <w:rFonts w:ascii="Calibri" w:hAnsi="Calibri"/>
                <w:sz w:val="22"/>
              </w:rPr>
              <w:t>~$200M per quarter for remainder of 2026</w:t>
            </w:r>
          </w:p>
        </w:tc>
        <w:tc>
          <w:tcPr>
            <w:tcW w:type="dxa" w:w="1728"/>
          </w:tcPr>
          <w:p>
            <w:r>
              <w:rPr>
                <w:rFonts w:ascii="Calibri" w:hAnsi="Calibri"/>
                <w:sz w:val="22"/>
              </w:rPr>
              <w:t>—</w:t>
            </w:r>
          </w:p>
        </w:tc>
        <w:tc>
          <w:tcPr>
            <w:tcW w:type="dxa" w:w="1728"/>
          </w:tcPr>
          <w:p>
            <w:r>
              <w:rPr>
                <w:rFonts w:ascii="Calibri" w:hAnsi="Calibri"/>
                <w:sz w:val="22"/>
              </w:rPr>
              <w:t>~$200M assumed</w:t>
            </w:r>
          </w:p>
        </w:tc>
        <w:tc>
          <w:tcPr>
            <w:tcW w:type="dxa" w:w="1728"/>
          </w:tcPr>
          <w:p>
            <w:r>
              <w:rPr>
                <w:rFonts w:ascii="Calibri" w:hAnsi="Calibri"/>
                <w:sz w:val="22"/>
              </w:rPr>
              <w:t>Reflects CommScope acquisition debt; €1.1B notes issued May 2026 for refinancing</w:t>
            </w:r>
          </w:p>
        </w:tc>
      </w:tr>
      <w:tr>
        <w:tc>
          <w:tcPr>
            <w:tcW w:type="dxa" w:w="1728"/>
          </w:tcPr>
          <w:p>
            <w:r>
              <w:rPr>
                <w:rFonts w:ascii="Calibri" w:hAnsi="Calibri"/>
                <w:sz w:val="22"/>
              </w:rPr>
              <w:t>FY2026 CommScope Revenue Contribution</w:t>
            </w:r>
          </w:p>
        </w:tc>
        <w:tc>
          <w:tcPr>
            <w:tcW w:type="dxa" w:w="1728"/>
          </w:tcPr>
          <w:p>
            <w:r>
              <w:rPr>
                <w:rFonts w:ascii="Calibri" w:hAnsi="Calibri"/>
                <w:sz w:val="22"/>
              </w:rPr>
              <w:t>~$4.1B</w:t>
            </w:r>
          </w:p>
        </w:tc>
        <w:tc>
          <w:tcPr>
            <w:tcW w:type="dxa" w:w="1728"/>
          </w:tcPr>
          <w:p>
            <w:r>
              <w:rPr>
                <w:rFonts w:ascii="Calibri" w:hAnsi="Calibri"/>
                <w:sz w:val="22"/>
              </w:rPr>
              <w:t>—</w:t>
            </w:r>
          </w:p>
        </w:tc>
        <w:tc>
          <w:tcPr>
            <w:tcW w:type="dxa" w:w="1728"/>
          </w:tcPr>
          <w:p>
            <w:r>
              <w:rPr>
                <w:rFonts w:ascii="Calibri" w:hAnsi="Calibri"/>
                <w:sz w:val="22"/>
              </w:rPr>
              <w:t>Tracking ahead of initial deal assumptions</w:t>
            </w:r>
          </w:p>
        </w:tc>
        <w:tc>
          <w:tcPr>
            <w:tcW w:type="dxa" w:w="1728"/>
          </w:tcPr>
          <w:p>
            <w:r>
              <w:rPr>
                <w:rFonts w:ascii="Calibri" w:hAnsi="Calibri"/>
                <w:sz w:val="22"/>
              </w:rPr>
              <w:t>Q1 growth rate was "largely similar" to APH organic; well above mid-teens deal assumption</w:t>
            </w:r>
          </w:p>
        </w:tc>
      </w:tr>
    </w:tbl>
    <w:p>
      <w:r>
        <w:rPr>
          <w:rFonts w:ascii="Calibri" w:hAnsi="Calibri"/>
          <w:i/>
          <w:color w:val="525866"/>
          <w:sz w:val="22"/>
        </w:rPr>
        <w:t>Source: APH Q1 2026 earnings call transcript (April 29, 2026); APH 8-K filings (May 6 and May 12, 2026).</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Estimates have moved sharply higher since the Q1 print — Q2 revenue consensus is up ~$70M and Q2 adj. EPS is up ~$0.02 from the post-earnings baseline, both tracking above guidance midpoints. Full-year 2026 estimates have also risen, suggesting the Street is embedding continued outperformance beyond Q2.</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 (%)</w:t>
            </w:r>
          </w:p>
        </w:tc>
      </w:tr>
      <w:tr>
        <w:tc>
          <w:tcPr>
            <w:tcW w:type="dxa" w:w="1080"/>
          </w:tcPr>
          <w:p>
            <w:r>
              <w:rPr>
                <w:rFonts w:ascii="Calibri" w:hAnsi="Calibri"/>
                <w:sz w:val="22"/>
              </w:rPr>
              <w:t>Net Sales — Q2 2026</w:t>
            </w:r>
          </w:p>
        </w:tc>
        <w:tc>
          <w:tcPr>
            <w:tcW w:type="dxa" w:w="1080"/>
          </w:tcPr>
          <w:p>
            <w:r>
              <w:rPr>
                <w:rFonts w:ascii="Calibri" w:hAnsi="Calibri"/>
                <w:sz w:val="22"/>
              </w:rPr>
              <w:t>$8.223B</w:t>
            </w:r>
          </w:p>
        </w:tc>
        <w:tc>
          <w:tcPr>
            <w:tcW w:type="dxa" w:w="1080"/>
          </w:tcPr>
          <w:p>
            <w:r>
              <w:rPr>
                <w:rFonts w:ascii="Calibri" w:hAnsi="Calibri"/>
                <w:sz w:val="22"/>
              </w:rPr>
              <w:t>$8.292B</w:t>
            </w:r>
          </w:p>
        </w:tc>
        <w:tc>
          <w:tcPr>
            <w:tcW w:type="dxa" w:w="1080"/>
          </w:tcPr>
          <w:p>
            <w:r>
              <w:rPr>
                <w:rFonts w:ascii="Calibri" w:hAnsi="Calibri"/>
                <w:b/>
                <w:color w:val="30A46C"/>
                <w:sz w:val="22"/>
              </w:rPr>
              <w:t>+0.8%</w:t>
            </w:r>
          </w:p>
        </w:tc>
        <w:tc>
          <w:tcPr>
            <w:tcW w:type="dxa" w:w="1080"/>
          </w:tcPr>
          <w:p>
            <w:r>
              <w:rPr>
                <w:rFonts w:ascii="Calibri" w:hAnsi="Calibri"/>
                <w:sz w:val="22"/>
              </w:rPr>
              <w:t>$8.10–$8.20B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+1.7%</w:t>
            </w:r>
          </w:p>
        </w:tc>
      </w:tr>
      <w:tr>
        <w:tc>
          <w:tcPr>
            <w:tcW w:type="dxa" w:w="1080"/>
          </w:tcPr>
          <w:p>
            <w:r>
              <w:rPr>
                <w:rFonts w:ascii="Calibri" w:hAnsi="Calibri"/>
                <w:sz w:val="22"/>
              </w:rPr>
              <w:t>Adj. EPS — Q2 2026</w:t>
            </w:r>
          </w:p>
        </w:tc>
        <w:tc>
          <w:tcPr>
            <w:tcW w:type="dxa" w:w="1080"/>
          </w:tcPr>
          <w:p>
            <w:r>
              <w:rPr>
                <w:rFonts w:ascii="Calibri" w:hAnsi="Calibri"/>
                <w:sz w:val="22"/>
              </w:rPr>
              <w:t>$1.165</w:t>
            </w:r>
          </w:p>
        </w:tc>
        <w:tc>
          <w:tcPr>
            <w:tcW w:type="dxa" w:w="1080"/>
          </w:tcPr>
          <w:p>
            <w:r>
              <w:rPr>
                <w:rFonts w:ascii="Calibri" w:hAnsi="Calibri"/>
                <w:sz w:val="22"/>
              </w:rPr>
              <w:t>$1.183</w:t>
            </w:r>
          </w:p>
        </w:tc>
        <w:tc>
          <w:tcPr>
            <w:tcW w:type="dxa" w:w="1080"/>
          </w:tcPr>
          <w:p>
            <w:r>
              <w:rPr>
                <w:rFonts w:ascii="Calibri" w:hAnsi="Calibri"/>
                <w:b/>
                <w:color w:val="30A46C"/>
                <w:sz w:val="22"/>
              </w:rPr>
              <w:t>+1.5%</w:t>
            </w:r>
          </w:p>
        </w:tc>
        <w:tc>
          <w:tcPr>
            <w:tcW w:type="dxa" w:w="1080"/>
          </w:tcPr>
          <w:p>
            <w:r>
              <w:rPr>
                <w:rFonts w:ascii="Calibri" w:hAnsi="Calibri"/>
                <w:sz w:val="22"/>
              </w:rPr>
              <w:t>$1.14–$1.16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+2.9%</w:t>
            </w:r>
          </w:p>
        </w:tc>
      </w:tr>
      <w:tr>
        <w:tc>
          <w:tcPr>
            <w:tcW w:type="dxa" w:w="1080"/>
          </w:tcPr>
          <w:p>
            <w:r>
              <w:rPr>
                <w:rFonts w:ascii="Calibri" w:hAnsi="Calibri"/>
                <w:sz w:val="22"/>
              </w:rPr>
              <w:t>IT &amp; Datacom Revenue — Q2 2026</w:t>
            </w:r>
          </w:p>
        </w:tc>
        <w:tc>
          <w:tcPr>
            <w:tcW w:type="dxa" w:w="1080"/>
          </w:tcPr>
          <w:p>
            <w:r>
              <w:rPr>
                <w:rFonts w:ascii="Calibri" w:hAnsi="Calibri"/>
                <w:sz w:val="22"/>
              </w:rPr>
              <w:t>$3.551B</w:t>
            </w:r>
          </w:p>
        </w:tc>
        <w:tc>
          <w:tcPr>
            <w:tcW w:type="dxa" w:w="1080"/>
          </w:tcPr>
          <w:p>
            <w:r>
              <w:rPr>
                <w:rFonts w:ascii="Calibri" w:hAnsi="Calibri"/>
                <w:sz w:val="22"/>
              </w:rPr>
              <w:t>$3.603B</w:t>
            </w:r>
          </w:p>
        </w:tc>
        <w:tc>
          <w:tcPr>
            <w:tcW w:type="dxa" w:w="1080"/>
          </w:tcPr>
          <w:p>
            <w:r>
              <w:rPr>
                <w:rFonts w:ascii="Calibri" w:hAnsi="Calibri"/>
                <w:b/>
                <w:color w:val="30A46C"/>
                <w:sz w:val="22"/>
              </w:rPr>
              <w:t>+1.5%</w:t>
            </w:r>
          </w:p>
        </w:tc>
        <w:tc>
          <w:tcPr>
            <w:tcW w:type="dxa" w:w="1080"/>
          </w:tcPr>
          <w:p>
            <w:r>
              <w:rPr>
                <w:rFonts w:ascii="Calibri" w:hAnsi="Calibri"/>
                <w:sz w:val="22"/>
              </w:rPr>
              <w:t>Low-teens sequential step-up from $3.124B Q1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~+2.5% vs. implied mid</w:t>
            </w:r>
          </w:p>
        </w:tc>
      </w:tr>
      <w:tr>
        <w:tc>
          <w:tcPr>
            <w:tcW w:type="dxa" w:w="1080"/>
          </w:tcPr>
          <w:p>
            <w:r>
              <w:rPr>
                <w:rFonts w:ascii="Calibri" w:hAnsi="Calibri"/>
                <w:sz w:val="22"/>
              </w:rPr>
              <w:t>Net Sales — FY2026</w:t>
            </w:r>
          </w:p>
        </w:tc>
        <w:tc>
          <w:tcPr>
            <w:tcW w:type="dxa" w:w="1080"/>
          </w:tcPr>
          <w:p>
            <w:r>
              <w:rPr>
                <w:rFonts w:ascii="Calibri" w:hAnsi="Calibri"/>
                <w:sz w:val="22"/>
              </w:rPr>
              <w:t>$33.365B</w:t>
            </w:r>
          </w:p>
        </w:tc>
        <w:tc>
          <w:tcPr>
            <w:tcW w:type="dxa" w:w="1080"/>
          </w:tcPr>
          <w:p>
            <w:r>
              <w:rPr>
                <w:rFonts w:ascii="Calibri" w:hAnsi="Calibri"/>
                <w:sz w:val="22"/>
              </w:rPr>
              <w:t>$33.657B</w:t>
            </w:r>
          </w:p>
        </w:tc>
        <w:tc>
          <w:tcPr>
            <w:tcW w:type="dxa" w:w="1080"/>
          </w:tcPr>
          <w:p>
            <w:r>
              <w:rPr>
                <w:rFonts w:ascii="Calibri" w:hAnsi="Calibri"/>
                <w:b/>
                <w:color w:val="30A46C"/>
                <w:sz w:val="22"/>
              </w:rPr>
              <w:t>+0.9%</w:t>
            </w:r>
          </w:p>
        </w:tc>
        <w:tc>
          <w:tcPr>
            <w:tcW w:type="dxa" w:w="1080"/>
          </w:tcPr>
          <w:p>
            <w:r>
              <w:rPr>
                <w:rFonts w:ascii="Calibri" w:hAnsi="Calibri"/>
                <w:sz w:val="22"/>
              </w:rPr>
              <w:t>N/A — no FY guidance issued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$4.780</w:t>
            </w:r>
          </w:p>
        </w:tc>
        <w:tc>
          <w:tcPr>
            <w:tcW w:type="dxa" w:w="1080"/>
          </w:tcPr>
          <w:p>
            <w:r>
              <w:rPr>
                <w:rFonts w:ascii="Calibri" w:hAnsi="Calibri"/>
                <w:sz w:val="22"/>
              </w:rPr>
              <w:t>$4.852</w:t>
            </w:r>
          </w:p>
        </w:tc>
        <w:tc>
          <w:tcPr>
            <w:tcW w:type="dxa" w:w="1080"/>
          </w:tcPr>
          <w:p>
            <w:r>
              <w:rPr>
                <w:rFonts w:ascii="Calibri" w:hAnsi="Calibri"/>
                <w:b/>
                <w:color w:val="30A46C"/>
                <w:sz w:val="22"/>
              </w:rPr>
              <w:t>+1.5%</w:t>
            </w:r>
          </w:p>
        </w:tc>
        <w:tc>
          <w:tcPr>
            <w:tcW w:type="dxa" w:w="1080"/>
          </w:tcPr>
          <w:p>
            <w:r>
              <w:rPr>
                <w:rFonts w:ascii="Calibri" w:hAnsi="Calibri"/>
                <w:sz w:val="22"/>
              </w:rPr>
              <w:t>N/A — no FY guidance issued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Operating Margin — FY2026</w:t>
            </w:r>
          </w:p>
        </w:tc>
        <w:tc>
          <w:tcPr>
            <w:tcW w:type="dxa" w:w="1080"/>
          </w:tcPr>
          <w:p>
            <w:r>
              <w:rPr>
                <w:rFonts w:ascii="Calibri" w:hAnsi="Calibri"/>
                <w:sz w:val="22"/>
              </w:rPr>
              <w:t>27.78%</w:t>
            </w:r>
          </w:p>
        </w:tc>
        <w:tc>
          <w:tcPr>
            <w:tcW w:type="dxa" w:w="1080"/>
          </w:tcPr>
          <w:p>
            <w:r>
              <w:rPr>
                <w:rFonts w:ascii="Calibri" w:hAnsi="Calibri"/>
                <w:sz w:val="22"/>
              </w:rPr>
              <w:t>27.89%</w:t>
            </w:r>
          </w:p>
        </w:tc>
        <w:tc>
          <w:tcPr>
            <w:tcW w:type="dxa" w:w="1080"/>
          </w:tcPr>
          <w:p>
            <w:r>
              <w:rPr>
                <w:rFonts w:ascii="Calibri" w:hAnsi="Calibri"/>
                <w:b/>
                <w:color w:val="30A46C"/>
                <w:sz w:val="22"/>
              </w:rPr>
              <w:t>+11 bps</w:t>
            </w:r>
          </w:p>
        </w:tc>
        <w:tc>
          <w:tcPr>
            <w:tcW w:type="dxa" w:w="1080"/>
          </w:tcPr>
          <w:p>
            <w:r>
              <w:rPr>
                <w:rFonts w:ascii="Calibri" w:hAnsi="Calibri"/>
                <w:sz w:val="22"/>
              </w:rPr>
              <w:t>N/A — no FY guidance issued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Estimates have moved consistently higher across all KPIs since the Q1 2026 print, with no divergence from guidance direction. The gap between consensus and guidance midpoints on both revenue (+1.7%) and EPS (+2.9%) represents a modest cushion that is consistent with APH's historical beat pattern, but also means the market is already embedding some outperformance. The key risk is that the IT datacom sequential guide ("low-teens") is already partially priced in by consensus, leaving less room for a positive surprise than in Q1.</w:t>
      </w:r>
    </w:p>
    <w:p>
      <w:r>
        <w:rPr>
          <w:rFonts w:ascii="Calibri" w:hAnsi="Calibri"/>
          <w:i/>
          <w:color w:val="525866"/>
          <w:sz w:val="22"/>
        </w:rPr>
        <w:t>Source: Visible Alpha consensus and actuals; as-of date May 5, 2026 (5 trading days post Q1 earnings). APH Q1 2026 earnings call (April 29,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APH has underperformed the S&amp;P 500 by ~7 percentage points since the Q1 earnings date (APH −3.1% vs. SPY +4.1%), despite a strong initial gap-up on April 29 — the reversal reflects valuation digestion (stock had been trading at ~55x forward P/E pre-earnings) and CEO open-market stock sales in early May, not any fundamental deterioration.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APH vs. IYE (iShares U.S. Energy ETF used as sector proxy) vs. S&amp;P 500 — indexed to 100 at April 29, 2026 (Q1 2026 earnings date). Source: Yahoo Finance.</w:t>
      </w:r>
    </w:p>
    <w:p>
      <w:r>
        <w:rPr>
          <w:rFonts w:ascii="Calibri" w:hAnsi="Calibri"/>
          <w:b/>
          <w:color w:val="525866"/>
          <w:sz w:val="22"/>
        </w:rPr>
        <w:t xml:space="preserve">Sector ETF: </w:t>
      </w:r>
      <w:r>
        <w:rPr>
          <w:rFonts w:ascii="Calibri" w:hAnsi="Calibri"/>
          <w:color w:val="525866"/>
          <w:sz w:val="22"/>
        </w:rPr>
        <w:t>IYE (iShares U.S. Energy ETF) was used as the sector proxy in the chart. Note: APH is an industrials/technology company; a more precise proxy would be XLI (Industrials Select Sector SPDR) or IYW (iShares U.S. Technology ETF). IYE is shown for reference as pulled in the data; investors should note APH's primary sector peers are in industrials and electronic components.</w:t>
      </w:r>
    </w:p>
    <w:p>
      <w:r>
        <w:rPr>
          <w:rFonts w:ascii="Calibri" w:hAnsi="Calibri"/>
          <w:b/>
          <w:color w:val="525866"/>
          <w:sz w:val="22"/>
        </w:rPr>
        <w:t xml:space="preserve">Performance narrative: </w:t>
      </w:r>
      <w:r>
        <w:rPr>
          <w:rFonts w:ascii="Calibri" w:hAnsi="Calibri"/>
          <w:color w:val="525866"/>
          <w:sz w:val="22"/>
        </w:rPr>
        <w:t>APH gapped up strongly on April 29 following the Q1 beat and above-consensus Q2 guidance. The stock then sold off sharply through mid-May (reaching a low near $119–$122 range), driven by CEO Richard Norwitt's open-market sales of ~130,775 shares (~$18M) in early May and broader market rotation away from high-multiple AI-exposed names. A strong recovery followed through late May and June, with APH reaching a high near $176 on June 30 as AI infrastructure spending commentary from peers (Coherent, Corning, Eaton, Jabil) reinforced the demand narrative. The stock has since pulled back to ~$149 as of July 27, 2026, likely reflecting pre-earnings positioning and profit-taking ahead of the Q2 print. The net result is a modest underperformance vs. the S&amp;P 500 since earnings, suggesting the market is neither pricing in a large beat nor a miss — a relatively neutral setup.</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b/>
          <w:color w:val="525866"/>
          <w:sz w:val="22"/>
        </w:rPr>
        <w:t>The most important post-Q1 development is the €1.1B senior notes offering in May 2026, which signals active balance sheet management post-CommScope and supports the company's capacity investment cycle. No guidance revisions or material operational announcements have been made since the Q1 earnings call.</w:t>
      </w:r>
    </w:p>
    <w:p>
      <w:pPr>
        <w:pStyle w:val="ListBullet"/>
        <w:ind w:left="360" w:hanging="360"/>
      </w:pPr>
      <w:r>
        <w:rPr>
          <w:rFonts w:ascii="Calibri" w:hAnsi="Calibri"/>
          <w:b/>
          <w:color w:val="525866"/>
          <w:sz w:val="22"/>
        </w:rPr>
        <w:t>May 12, 2026 — APH prices and closes €1.1B senior notes offering (8-K).</w:t>
      </w:r>
      <w:r>
        <w:rPr>
          <w:rFonts w:ascii="Calibri" w:hAnsi="Calibri"/>
          <w:color w:val="525866"/>
          <w:sz w:val="22"/>
        </w:rPr>
        <w:t xml:space="preserve"> Amphenol issued €1.1 billion in senior notes, with proceeds earmarked for debt repayment. This is a balance sheet management action following the ~$2.1B CommScope acquisition closed in January 2026. Implication: Confirms management's commitment to maintaining financial flexibility while funding the capacity expansion cycle; no change to the ~$200M/quarter net interest expense guidance.</w:t>
      </w:r>
    </w:p>
    <w:p>
      <w:pPr>
        <w:pStyle w:val="ListBullet"/>
        <w:ind w:left="360" w:hanging="360"/>
      </w:pPr>
      <w:r>
        <w:rPr>
          <w:rFonts w:ascii="Calibri" w:hAnsi="Calibri"/>
          <w:b/>
          <w:color w:val="525866"/>
          <w:sz w:val="22"/>
        </w:rPr>
        <w:t>May 5, 2026 — CEO Richard Norwitt sells ~130,775 shares (~$18M) in open-market transactions.</w:t>
      </w:r>
      <w:r>
        <w:rPr>
          <w:rFonts w:ascii="Calibri" w:hAnsi="Calibri"/>
          <w:color w:val="525866"/>
          <w:sz w:val="22"/>
        </w:rPr>
        <w:t xml:space="preserve"> Three separate Form 4 filings disclosed sales on May 1, 4, and 5 at prices in the $136–$143 range. These were discretionary open-market sales (not 10b5-1 plan). Implication: Contributed to the post-earnings stock pullback; notable given the size relative to his remaining ~1.93M share position, but not unusual for a CEO who has periodically sold shares over the years.</w:t>
      </w:r>
    </w:p>
    <w:p>
      <w:pPr>
        <w:pStyle w:val="ListBullet"/>
        <w:ind w:left="360" w:hanging="360"/>
      </w:pPr>
      <w:r>
        <w:rPr>
          <w:rFonts w:ascii="Calibri" w:hAnsi="Calibri"/>
          <w:b/>
          <w:color w:val="525866"/>
          <w:sz w:val="22"/>
        </w:rPr>
        <w:t>April 29, 2026 — Q1 2026 earnings: record revenue, record adj. EPS, record orders, record book-to-bill.</w:t>
      </w:r>
      <w:r>
        <w:rPr>
          <w:rFonts w:ascii="Calibri" w:hAnsi="Calibri"/>
          <w:color w:val="525866"/>
          <w:sz w:val="22"/>
        </w:rPr>
        <w:t xml:space="preserve"> APH reported Q1 revenue of $7.621B (+99% YoY), adj. EPS of $1.06 (+68% YoY), orders of $9.435B (+78% YoY), and a book-to-bill of 1.24x. IT datacom organic sequential growth of 16% far exceeded the guided low-double-digit increase. Q2 guidance of $8.10–$8.20B revenue and $1.14–$1.16 adj. EPS came in well above Street consensus. Implication: Sets a high bar for Q2 but also demonstrates APH's consistent pattern of conservative guidance followed by beats.</w:t>
      </w:r>
    </w:p>
    <w:p>
      <w:pPr>
        <w:pStyle w:val="ListBullet"/>
        <w:ind w:left="360" w:hanging="360"/>
      </w:pPr>
      <w:r>
        <w:rPr>
          <w:rFonts w:ascii="Calibri" w:hAnsi="Calibri"/>
          <w:b/>
          <w:color w:val="525866"/>
          <w:sz w:val="22"/>
        </w:rPr>
        <w:t>Ongoing — AI data center capex acceleration by hyperscalers.</w:t>
      </w:r>
      <w:r>
        <w:rPr>
          <w:rFonts w:ascii="Calibri" w:hAnsi="Calibri"/>
          <w:color w:val="525866"/>
          <w:sz w:val="22"/>
        </w:rPr>
        <w:t xml:space="preserve"> Multiple hyperscalers (Microsoft, Google, Amazon, Meta) have publicly committed to record data center capex in 2025–2026, with AI infrastructure as the primary driver. Corning announced a multibillion-dollar agreement with Amazon and a $6B agreement with Meta for optical connectivity. Implication: Directly supports APH's IT datacom demand outlook; management's "low-teens" sequential guide for Q2 may prove conservative if hyperscaler pull-through accelerates.</w:t>
      </w:r>
    </w:p>
    <w:p>
      <w:pPr>
        <w:pStyle w:val="ListBullet"/>
        <w:ind w:left="360" w:hanging="360"/>
      </w:pPr>
      <w:r>
        <w:rPr>
          <w:rFonts w:ascii="Calibri" w:hAnsi="Calibri"/>
          <w:b/>
          <w:color w:val="525866"/>
          <w:sz w:val="22"/>
        </w:rPr>
        <w:t>Ongoing — Defense spending acceleration in the US and Europe.</w:t>
      </w:r>
      <w:r>
        <w:rPr>
          <w:rFonts w:ascii="Calibri" w:hAnsi="Calibri"/>
          <w:color w:val="525866"/>
          <w:sz w:val="22"/>
        </w:rPr>
        <w:t xml:space="preserve"> NATO members are increasing defense budgets; US missile defense and smart munitions programs are ramping. Teledyne (TDY) reported Q2 defense orders exceeding sales for the 11th consecutive quarter with a 1.23x book-to-bill. Implication: Supports APH's guided "high single-digit" sequential defense growth in Q2; management described this as a "once-in-a-generation supply chain restocking event."</w:t>
      </w:r>
    </w:p>
    <w:p>
      <w:pPr>
        <w:pStyle w:val="ListBullet"/>
        <w:ind w:left="360" w:hanging="360"/>
      </w:pPr>
      <w:r>
        <w:rPr>
          <w:rFonts w:ascii="Calibri" w:hAnsi="Calibri"/>
          <w:b/>
          <w:color w:val="525866"/>
          <w:sz w:val="22"/>
        </w:rPr>
        <w:t>Ongoing — Tariff environment remains manageable for APH.</w:t>
      </w:r>
      <w:r>
        <w:rPr>
          <w:rFonts w:ascii="Calibri" w:hAnsi="Calibri"/>
          <w:color w:val="525866"/>
          <w:sz w:val="22"/>
        </w:rPr>
        <w:t xml:space="preserve"> Section 301 tariff framework changes in mid-2026 had minor impact on peers (Hubbell noted "minor minor impact"). APH's decentralized structure with 300+ facilities across 40+ countries positions it well. Implication: Tariffs are a manageable headwind, not a structural risk; APH's entrepreneurial GM model allows product-level pricing decisions rather than blanket increases.</w:t>
      </w:r>
    </w:p>
    <w:p>
      <w:r>
        <w:br w:type="page"/>
      </w:r>
    </w:p>
    <w:p>
      <w:pPr>
        <w:pStyle w:val="Heading2"/>
      </w:pPr>
      <w:r>
        <w:rPr>
          <w:rFonts w:ascii="Calibri" w:hAnsi="Calibri"/>
          <w:b/>
          <w:color w:val="3B4259"/>
          <w:sz w:val="28"/>
        </w:rPr>
        <w:t>7. Peer Commentaries — Q2 2026 Read-Throughs (Last 60 Days)</w:t>
      </w:r>
    </w:p>
    <w:p>
      <w:r>
        <w:rPr>
          <w:rFonts w:ascii="Calibri" w:hAnsi="Calibri"/>
          <w:b/>
          <w:color w:val="525866"/>
          <w:sz w:val="22"/>
        </w:rPr>
        <w:t xml:space="preserve">Key Takeaway: </w:t>
      </w:r>
      <w:r>
        <w:rPr>
          <w:rFonts w:ascii="Calibri" w:hAnsi="Calibri"/>
          <w:b/>
          <w:color w:val="525866"/>
          <w:sz w:val="22"/>
        </w:rPr>
        <w:t>Peer commentary since APH's Q1 earnings is uniformly bullish on AI data center demand, defense, and industrial — all three of APH's key growth drivers. Coherent's record backlog extending to 2028, Corning's accelerating optical orders, Eaton's 240% data center order growth, TE Connectivity's 70%+ YTD DDN order growth, and Hubbell's 65% data center sales growth all point to a sustained, broad-based demand environment that should support APH's Q2 guided "low-teens" IT datacom sequential step-up and potentially enable another beat.</w:t>
      </w:r>
    </w:p>
    <w:p>
      <w:r>
        <w:rPr>
          <w:rFonts w:ascii="Calibri" w:hAnsi="Calibri"/>
          <w:i/>
          <w:color w:val="525866"/>
          <w:sz w:val="22"/>
        </w:rPr>
        <w:t>Note: Only commentary from the current reporting period (post-APH Q1 earnings, April 29, 2026 onward) is included below. Prior-quarter earnings results are excluded; only forward-looking commentary about Q2 2026 conditions or post-Q1 observations are included.</w:t>
      </w:r>
    </w:p>
    <w:p>
      <w:pPr>
        <w:pStyle w:val="Heading3"/>
      </w:pPr>
      <w:r>
        <w:rPr>
          <w:rFonts w:ascii="Calibri" w:hAnsi="Calibri"/>
          <w:b/>
          <w:color w:val="3B4259"/>
          <w:sz w:val="24"/>
        </w:rPr>
        <w:t>Coherent Corp. (COHR) — Q3 FY2026 Earnings (May 6, 2026)</w:t>
      </w:r>
    </w:p>
    <w:p>
      <w:r>
        <w:rPr>
          <w:rFonts w:ascii="Calibri" w:hAnsi="Calibri"/>
          <w:b/>
          <w:color w:val="525866"/>
          <w:sz w:val="22"/>
        </w:rPr>
        <w:t xml:space="preserve">Relevance to APH: </w:t>
      </w:r>
      <w:r>
        <w:rPr>
          <w:rFonts w:ascii="Calibri" w:hAnsi="Calibri"/>
          <w:color w:val="525866"/>
          <w:sz w:val="22"/>
        </w:rPr>
        <w:t>Coherent is a direct read-through on AI optical interconnect demand — a key growth area for APH's CommScope fiber optic portfolio and CPO positioning.</w:t>
      </w:r>
    </w:p>
    <w:p>
      <w:pPr>
        <w:pStyle w:val="ListBullet"/>
        <w:ind w:left="360" w:hanging="360"/>
      </w:pPr>
      <w:r>
        <w:rPr>
          <w:rFonts w:ascii="Calibri" w:hAnsi="Calibri"/>
          <w:b/>
          <w:color w:val="525866"/>
          <w:sz w:val="22"/>
        </w:rPr>
        <w:t>Record backlog, orders extending to calendar 2028:</w:t>
      </w:r>
      <w:r>
        <w:rPr>
          <w:rFonts w:ascii="Calibri" w:hAnsi="Calibri"/>
          <w:color w:val="525866"/>
          <w:sz w:val="22"/>
        </w:rPr>
        <w:t xml:space="preserve"> "Customer demand remains exceptionally strong with no signs of attenuation, and our visibility continues to extend further into the future with orders now reaching into calendar 2028 and customer LTAs extending to the end of the decade." This is a direct positive read-through for APH's IT datacom order aperture commentary.</w:t>
      </w:r>
    </w:p>
    <w:p>
      <w:pPr>
        <w:pStyle w:val="ListBullet"/>
        <w:ind w:left="360" w:hanging="360"/>
      </w:pPr>
      <w:r>
        <w:rPr>
          <w:rFonts w:ascii="Calibri" w:hAnsi="Calibri"/>
          <w:b/>
          <w:color w:val="525866"/>
          <w:sz w:val="22"/>
        </w:rPr>
        <w:t>1.6T transceiver ramp faster than expected:</w:t>
      </w:r>
      <w:r>
        <w:rPr>
          <w:rFonts w:ascii="Calibri" w:hAnsi="Calibri"/>
          <w:color w:val="525866"/>
          <w:sz w:val="22"/>
        </w:rPr>
        <w:t xml:space="preserve"> "That 1.6T ramp is actually faster than what we would have thought, say, a year ago." Faster ramp in next-gen optical speeds drives more interconnect content per rack — positive for APH's fiber optic and high-speed copper products.</w:t>
      </w:r>
    </w:p>
    <w:p>
      <w:pPr>
        <w:pStyle w:val="ListBullet"/>
        <w:ind w:left="360" w:hanging="360"/>
      </w:pPr>
      <w:r>
        <w:rPr>
          <w:rFonts w:ascii="Calibri" w:hAnsi="Calibri"/>
          <w:b/>
          <w:color w:val="525866"/>
          <w:sz w:val="22"/>
        </w:rPr>
        <w:t>CPO market opportunity sized at $15B+:</w:t>
      </w:r>
      <w:r>
        <w:rPr>
          <w:rFonts w:ascii="Calibri" w:hAnsi="Calibri"/>
          <w:color w:val="525866"/>
          <w:sz w:val="22"/>
        </w:rPr>
        <w:t xml:space="preserve"> "We believe CPO represents more than $15 billion of incremental addressable market opportunity." APH management noted on the Q1 call that they are "working with customers on a broad array of solutions, including CPO for the future" — Coherent's commentary validates the long-term TAM expansion.</w:t>
      </w:r>
    </w:p>
    <w:p>
      <w:pPr>
        <w:pStyle w:val="ListBullet"/>
        <w:ind w:left="360" w:hanging="360"/>
      </w:pPr>
      <w:r>
        <w:rPr>
          <w:rFonts w:ascii="Calibri" w:hAnsi="Calibri"/>
          <w:b/>
          <w:color w:val="525866"/>
          <w:sz w:val="22"/>
        </w:rPr>
        <w:t>OCS (Optical Circuit Switch) market raised to $4B+:</w:t>
      </w:r>
      <w:r>
        <w:rPr>
          <w:rFonts w:ascii="Calibri" w:hAnsi="Calibri"/>
          <w:color w:val="525866"/>
          <w:sz w:val="22"/>
        </w:rPr>
        <w:t xml:space="preserve"> Coherent increased its OCS market view to over $4B, "reflecting expanding use cases across data center interconnect, scale-out and scale-up networks." Positive for APH's optical connectivity portfolio.</w:t>
      </w:r>
    </w:p>
    <w:p>
      <w:pPr>
        <w:pStyle w:val="ListBullet"/>
        <w:ind w:left="360" w:hanging="360"/>
      </w:pPr>
      <w:r>
        <w:rPr>
          <w:rFonts w:ascii="Calibri" w:hAnsi="Calibri"/>
          <w:b/>
          <w:color w:val="525866"/>
          <w:sz w:val="22"/>
        </w:rPr>
        <w:t>Pricing "very healthy" due to supply/demand imbalance:</w:t>
      </w:r>
      <w:r>
        <w:rPr>
          <w:rFonts w:ascii="Calibri" w:hAnsi="Calibri"/>
          <w:color w:val="525866"/>
          <w:sz w:val="22"/>
        </w:rPr>
        <w:t xml:space="preserve"> "I would call pricing very healthy, very healthy dynamics around pricing. Because of the supply versus demand, I think pricing has been very good." Supports APH's ability to maintain strong margins in IT datacom.</w:t>
      </w:r>
    </w:p>
    <w:p>
      <w:pPr>
        <w:pStyle w:val="ListBullet"/>
        <w:ind w:left="360" w:hanging="360"/>
      </w:pPr>
      <w:r>
        <w:rPr>
          <w:rFonts w:ascii="Calibri" w:hAnsi="Calibri"/>
          <w:b/>
          <w:color w:val="525866"/>
          <w:sz w:val="22"/>
        </w:rPr>
        <w:t>NVIDIA $2B equity investment + multiyear supply agreement:</w:t>
      </w:r>
      <w:r>
        <w:rPr>
          <w:rFonts w:ascii="Calibri" w:hAnsi="Calibri"/>
          <w:color w:val="525866"/>
          <w:sz w:val="22"/>
        </w:rPr>
        <w:t xml:space="preserve"> Strategic partnership announced in March 2026 for CPO-related products through end of decade. Validates the CPO architecture trajectory that APH is also positioning for.</w:t>
      </w:r>
    </w:p>
    <w:p>
      <w:pPr>
        <w:pStyle w:val="Heading3"/>
      </w:pPr>
      <w:r>
        <w:rPr>
          <w:rFonts w:ascii="Calibri" w:hAnsi="Calibri"/>
          <w:b/>
          <w:color w:val="3B4259"/>
          <w:sz w:val="24"/>
        </w:rPr>
        <w:t>Corning Inc. (GLW) — Q2 2026 Earnings (July 28, 2026)</w:t>
      </w:r>
    </w:p>
    <w:p>
      <w:r>
        <w:rPr>
          <w:rFonts w:ascii="Calibri" w:hAnsi="Calibri"/>
          <w:b/>
          <w:color w:val="525866"/>
          <w:sz w:val="22"/>
        </w:rPr>
        <w:t xml:space="preserve">Relevance to APH: </w:t>
      </w:r>
      <w:r>
        <w:rPr>
          <w:rFonts w:ascii="Calibri" w:hAnsi="Calibri"/>
          <w:color w:val="525866"/>
          <w:sz w:val="22"/>
        </w:rPr>
        <w:t>Corning's optical communications segment is a direct read-through on fiber/optical demand for AI data centers — highly relevant to APH's CommScope fiber optic business and enterprise connectivity portfolio.</w:t>
      </w:r>
    </w:p>
    <w:p>
      <w:pPr>
        <w:pStyle w:val="ListBullet"/>
        <w:ind w:left="360" w:hanging="360"/>
      </w:pPr>
      <w:r>
        <w:rPr>
          <w:rFonts w:ascii="Calibri" w:hAnsi="Calibri"/>
          <w:b/>
          <w:color w:val="525866"/>
          <w:sz w:val="22"/>
        </w:rPr>
        <w:t>Optical Communications sales +32% YoY to $2B+, record profitability:</w:t>
      </w:r>
      <w:r>
        <w:rPr>
          <w:rFonts w:ascii="Calibri" w:hAnsi="Calibri"/>
          <w:color w:val="525866"/>
          <w:sz w:val="22"/>
        </w:rPr>
        <w:t xml:space="preserve"> "Our results were led by Optical Communications, where we grew sales 32% year over year to over $2 billion, and net income grew 77% to $438 million." Enterprise (AI data center) sales grew 65% YoY; gen AI product sales nearly doubled. Strong positive read-through for APH's IT datacom segment.</w:t>
      </w:r>
    </w:p>
    <w:p>
      <w:pPr>
        <w:pStyle w:val="ListBullet"/>
        <w:ind w:left="360" w:hanging="360"/>
      </w:pPr>
      <w:r>
        <w:rPr>
          <w:rFonts w:ascii="Calibri" w:hAnsi="Calibri"/>
          <w:b/>
          <w:color w:val="525866"/>
          <w:sz w:val="22"/>
        </w:rPr>
        <w:t>Orders accelerating; "if we could make more, we could sell more":</w:t>
      </w:r>
      <w:r>
        <w:rPr>
          <w:rFonts w:ascii="Calibri" w:hAnsi="Calibri"/>
          <w:color w:val="525866"/>
          <w:sz w:val="22"/>
        </w:rPr>
        <w:t xml:space="preserve"> Corning noted accelerating orders for gen AI products and enterprise networks, with supply as the binding constraint. This demand-exceeds-supply dynamic is consistent with APH's record book-to-bill of 1.24x.</w:t>
      </w:r>
    </w:p>
    <w:p>
      <w:pPr>
        <w:pStyle w:val="ListBullet"/>
        <w:ind w:left="360" w:hanging="360"/>
      </w:pPr>
      <w:r>
        <w:rPr>
          <w:rFonts w:ascii="Calibri" w:hAnsi="Calibri"/>
          <w:b/>
          <w:color w:val="525866"/>
          <w:sz w:val="22"/>
        </w:rPr>
        <w:t>Optical content per GPU to increase 1.3–1.5x by 2028:</w:t>
      </w:r>
      <w:r>
        <w:rPr>
          <w:rFonts w:ascii="Calibri" w:hAnsi="Calibri"/>
          <w:color w:val="525866"/>
          <w:sz w:val="22"/>
        </w:rPr>
        <w:t xml:space="preserve"> Corning quantified three technical drivers (cluster size growth, bandwidth growth, scale-up optical penetration) that will increase optical content per GPU. Vera Rubin Ultra's scale-up configuration requires 160 fibers per GPU — 10x current scale-out. This is a structural tailwind for APH's fiber optic and high-speed interconnect portfolio.</w:t>
      </w:r>
    </w:p>
    <w:p>
      <w:pPr>
        <w:pStyle w:val="ListBullet"/>
        <w:ind w:left="360" w:hanging="360"/>
      </w:pPr>
      <w:r>
        <w:rPr>
          <w:rFonts w:ascii="Calibri" w:hAnsi="Calibri"/>
          <w:b/>
          <w:color w:val="525866"/>
          <w:sz w:val="22"/>
        </w:rPr>
        <w:t>Meta $6B and Amazon multibillion-dollar LTAs signed:</w:t>
      </w:r>
      <w:r>
        <w:rPr>
          <w:rFonts w:ascii="Calibri" w:hAnsi="Calibri"/>
          <w:color w:val="525866"/>
          <w:sz w:val="22"/>
        </w:rPr>
        <w:t xml:space="preserve"> Major hyperscaler commitments for optical fiber and connectivity solutions confirm multi-year demand visibility. APH's customers are making similar long-term commitments ("opening order apertures").</w:t>
      </w:r>
    </w:p>
    <w:p>
      <w:pPr>
        <w:pStyle w:val="ListBullet"/>
        <w:ind w:left="360" w:hanging="360"/>
      </w:pPr>
      <w:r>
        <w:rPr>
          <w:rFonts w:ascii="Calibri" w:hAnsi="Calibri"/>
          <w:b/>
          <w:color w:val="525866"/>
          <w:sz w:val="22"/>
        </w:rPr>
        <w:t>Photonics TAM of $10B by 2030:</w:t>
      </w:r>
      <w:r>
        <w:rPr>
          <w:rFonts w:ascii="Calibri" w:hAnsi="Calibri"/>
          <w:color w:val="525866"/>
          <w:sz w:val="22"/>
        </w:rPr>
        <w:t xml:space="preserve"> Corning sees a $10B market access platform in photonics (CPO, near-package optics, FAU harnesses) by 2030. APH is positioning in the same CPO architecture space through CommScope and its own optical product development.</w:t>
      </w:r>
    </w:p>
    <w:p>
      <w:pPr>
        <w:pStyle w:val="ListBullet"/>
        <w:ind w:left="360" w:hanging="360"/>
      </w:pPr>
      <w:r>
        <w:rPr>
          <w:rFonts w:ascii="Calibri" w:hAnsi="Calibri"/>
          <w:b/>
          <w:color w:val="525866"/>
          <w:sz w:val="22"/>
        </w:rPr>
        <w:t>Q3 2026 guidance: sales $4.9–$5.0B (+16% YoY), EPS $0.85–$0.89 (+28% YoY):</w:t>
      </w:r>
      <w:r>
        <w:rPr>
          <w:rFonts w:ascii="Calibri" w:hAnsi="Calibri"/>
          <w:color w:val="525866"/>
          <w:sz w:val="22"/>
        </w:rPr>
        <w:t xml:space="preserve"> Corning's accelerating growth trajectory into Q3 is a positive leading indicator for APH's Q2 IT datacom demand environment.</w:t>
      </w:r>
    </w:p>
    <w:p>
      <w:pPr>
        <w:pStyle w:val="Heading3"/>
      </w:pPr>
      <w:r>
        <w:rPr>
          <w:rFonts w:ascii="Calibri" w:hAnsi="Calibri"/>
          <w:b/>
          <w:color w:val="3B4259"/>
          <w:sz w:val="24"/>
        </w:rPr>
        <w:t>Eaton Corporation (ETN) — Q1 2026 Earnings (May 5, 2026)</w:t>
      </w:r>
    </w:p>
    <w:p>
      <w:r>
        <w:rPr>
          <w:rFonts w:ascii="Calibri" w:hAnsi="Calibri"/>
          <w:b/>
          <w:color w:val="525866"/>
          <w:sz w:val="22"/>
        </w:rPr>
        <w:t xml:space="preserve">Relevance to APH: </w:t>
      </w:r>
      <w:r>
        <w:rPr>
          <w:rFonts w:ascii="Calibri" w:hAnsi="Calibri"/>
          <w:color w:val="525866"/>
          <w:sz w:val="22"/>
        </w:rPr>
        <w:t>Eaton is a read-through on power infrastructure and data center electrical demand — relevant to APH's power interconnect portfolio (bus bars, liquid-cooled bus bars, complex cable assemblies) and industrial end market.</w:t>
      </w:r>
    </w:p>
    <w:p>
      <w:pPr>
        <w:pStyle w:val="ListBullet"/>
        <w:ind w:left="360" w:hanging="360"/>
      </w:pPr>
      <w:r>
        <w:rPr>
          <w:rFonts w:ascii="Calibri" w:hAnsi="Calibri"/>
          <w:b/>
          <w:color w:val="525866"/>
          <w:sz w:val="22"/>
        </w:rPr>
        <w:t>Data center orders up 240%, electrical sector orders up 47% in Q1:</w:t>
      </w:r>
      <w:r>
        <w:rPr>
          <w:rFonts w:ascii="Calibri" w:hAnsi="Calibri"/>
          <w:color w:val="525866"/>
          <w:sz w:val="22"/>
        </w:rPr>
        <w:t xml:space="preserve"> "Accelerating orders driven by data center orders up 240% prove continued strong demand." Electrical Americas organic sales +14%, with data centers up ~50%. This is a strong positive read-through for APH's power interconnect demand in AI data centers.</w:t>
      </w:r>
    </w:p>
    <w:p>
      <w:pPr>
        <w:pStyle w:val="ListBullet"/>
        <w:ind w:left="360" w:hanging="360"/>
      </w:pPr>
      <w:r>
        <w:rPr>
          <w:rFonts w:ascii="Calibri" w:hAnsi="Calibri"/>
          <w:b/>
          <w:color w:val="525866"/>
          <w:sz w:val="22"/>
        </w:rPr>
        <w:t>32 GW of data center capacity under construction in the US, 70% AI:</w:t>
      </w:r>
      <w:r>
        <w:rPr>
          <w:rFonts w:ascii="Calibri" w:hAnsi="Calibri"/>
          <w:color w:val="525866"/>
          <w:sz w:val="22"/>
        </w:rPr>
        <w:t xml:space="preserve"> "We now estimate 32 gigawatts of total data center capacity under construction in the U.S., of which 70% is AI." Total data center backlog of 228 GW represents 12 years of backlog at 2025 build rates. Validates APH's multi-year AI infrastructure demand thesis.</w:t>
      </w:r>
    </w:p>
    <w:p>
      <w:pPr>
        <w:pStyle w:val="ListBullet"/>
        <w:ind w:left="360" w:hanging="360"/>
      </w:pPr>
      <w:r>
        <w:rPr>
          <w:rFonts w:ascii="Calibri" w:hAnsi="Calibri"/>
          <w:b/>
          <w:color w:val="525866"/>
          <w:sz w:val="22"/>
        </w:rPr>
        <w:t>Data center power demand could nearly triple 2025–2030:</w:t>
      </w:r>
      <w:r>
        <w:rPr>
          <w:rFonts w:ascii="Calibri" w:hAnsi="Calibri"/>
          <w:color w:val="525866"/>
          <w:sz w:val="22"/>
        </w:rPr>
        <w:t xml:space="preserve"> "AI factories represent a new class of infrastructure, and they are driving a massive global build-out, where data center power demand could nearly triple between 2025 and 2030." Directly supports APH's power interconnect TAM expansion narrative.</w:t>
      </w:r>
    </w:p>
    <w:p>
      <w:pPr>
        <w:pStyle w:val="ListBullet"/>
        <w:ind w:left="360" w:hanging="360"/>
      </w:pPr>
      <w:r>
        <w:rPr>
          <w:rFonts w:ascii="Calibri" w:hAnsi="Calibri"/>
          <w:b/>
          <w:color w:val="525866"/>
          <w:sz w:val="22"/>
        </w:rPr>
        <w:t>Machine OEM (industrial) back up in both Americas and Global:</w:t>
      </w:r>
      <w:r>
        <w:rPr>
          <w:rFonts w:ascii="Calibri" w:hAnsi="Calibri"/>
          <w:color w:val="525866"/>
          <w:sz w:val="22"/>
        </w:rPr>
        <w:t xml:space="preserve"> "MOEM is back up for both Americas and Global." Positive read-through for APH's industrial segment, which grew 16% organically in Q1 2026 with broad-based strength.</w:t>
      </w:r>
    </w:p>
    <w:p>
      <w:pPr>
        <w:pStyle w:val="ListBullet"/>
        <w:ind w:left="360" w:hanging="360"/>
      </w:pPr>
      <w:r>
        <w:rPr>
          <w:rFonts w:ascii="Calibri" w:hAnsi="Calibri"/>
          <w:b/>
          <w:color w:val="525866"/>
          <w:sz w:val="22"/>
        </w:rPr>
        <w:t>Tariff impact "immaterial" to guidance:</w:t>
      </w:r>
      <w:r>
        <w:rPr>
          <w:rFonts w:ascii="Calibri" w:hAnsi="Calibri"/>
          <w:color w:val="525866"/>
          <w:sz w:val="22"/>
        </w:rPr>
        <w:t xml:space="preserve"> "The tariff impacts are included in this guidance and considered immaterial." Consistent with APH's characterization of tariffs as manageable within its decentralized operating model.</w:t>
      </w:r>
    </w:p>
    <w:p>
      <w:pPr>
        <w:pStyle w:val="ListBullet"/>
        <w:ind w:left="360" w:hanging="360"/>
      </w:pPr>
      <w:r>
        <w:rPr>
          <w:rFonts w:ascii="Calibri" w:hAnsi="Calibri"/>
          <w:b/>
          <w:color w:val="525866"/>
          <w:sz w:val="22"/>
        </w:rPr>
        <w:t>Full-year 2026 organic growth raised to 9–11% (+200 bps at midpoint):</w:t>
      </w:r>
      <w:r>
        <w:rPr>
          <w:rFonts w:ascii="Calibri" w:hAnsi="Calibri"/>
          <w:color w:val="525866"/>
          <w:sz w:val="22"/>
        </w:rPr>
        <w:t xml:space="preserve"> Eaton raised its full-year organic growth outlook, driven by data center strength. Positive macro read-through for APH's end markets.</w:t>
      </w:r>
    </w:p>
    <w:p>
      <w:pPr>
        <w:pStyle w:val="Heading3"/>
      </w:pPr>
      <w:r>
        <w:rPr>
          <w:rFonts w:ascii="Calibri" w:hAnsi="Calibri"/>
          <w:b/>
          <w:color w:val="3B4259"/>
          <w:sz w:val="24"/>
        </w:rPr>
        <w:t>TE Connectivity (TEL) — Q3 FY2026 Earnings (July 22, 2026)</w:t>
      </w:r>
    </w:p>
    <w:p>
      <w:r>
        <w:rPr>
          <w:rFonts w:ascii="Calibri" w:hAnsi="Calibri"/>
          <w:b/>
          <w:color w:val="525866"/>
          <w:sz w:val="22"/>
        </w:rPr>
        <w:t xml:space="preserve">Relevance to APH: </w:t>
      </w:r>
      <w:r>
        <w:rPr>
          <w:rFonts w:ascii="Calibri" w:hAnsi="Calibri"/>
          <w:color w:val="525866"/>
          <w:sz w:val="22"/>
        </w:rPr>
        <w:t>TE Connectivity is the closest direct peer to APH — both are global connector/interconnect leaders serving AI data centers, defense, automotive, and industrial markets. TEL's Q3 results (reported July 22) are the most timely and relevant read-through available.</w:t>
      </w:r>
    </w:p>
    <w:p>
      <w:pPr>
        <w:pStyle w:val="ListBullet"/>
        <w:ind w:left="360" w:hanging="360"/>
      </w:pPr>
      <w:r>
        <w:rPr>
          <w:rFonts w:ascii="Calibri" w:hAnsi="Calibri"/>
          <w:b/>
          <w:color w:val="525866"/>
          <w:sz w:val="22"/>
        </w:rPr>
        <w:t>Record orders of $5.7B, +27% YoY, +7% sequentially; book-to-bill of 1.1x:</w:t>
      </w:r>
      <w:r>
        <w:rPr>
          <w:rFonts w:ascii="Calibri" w:hAnsi="Calibri"/>
          <w:color w:val="525866"/>
          <w:sz w:val="22"/>
        </w:rPr>
        <w:t xml:space="preserve"> "Record order performance, with double-digit order growth across every business in both segments." Industrial segment orders +36% YoY; DDN (digital data networks) YTD orders up 70%+ vs. last year. This is the most direct positive read-through for APH's own record order momentum.</w:t>
      </w:r>
    </w:p>
    <w:p>
      <w:pPr>
        <w:pStyle w:val="ListBullet"/>
        <w:ind w:left="360" w:hanging="360"/>
      </w:pPr>
      <w:r>
        <w:rPr>
          <w:rFonts w:ascii="Calibri" w:hAnsi="Calibri"/>
          <w:b/>
          <w:color w:val="525866"/>
          <w:sz w:val="22"/>
        </w:rPr>
        <w:t>AI cloud business ahead of schedule vs. Investor Day targets:</w:t>
      </w:r>
      <w:r>
        <w:rPr>
          <w:rFonts w:ascii="Calibri" w:hAnsi="Calibri"/>
          <w:color w:val="525866"/>
          <w:sz w:val="22"/>
        </w:rPr>
        <w:t xml:space="preserve"> TEL's AI cloud business, projected to reach $3B in two years at its late-2025 Investor Day, is "ahead of schedule" and "continues to shift left." Validates APH's commentary that AI demand is accelerating, not decelerating.</w:t>
      </w:r>
    </w:p>
    <w:p>
      <w:pPr>
        <w:pStyle w:val="ListBullet"/>
        <w:ind w:left="360" w:hanging="360"/>
      </w:pPr>
      <w:r>
        <w:rPr>
          <w:rFonts w:ascii="Calibri" w:hAnsi="Calibri"/>
          <w:b/>
          <w:color w:val="525866"/>
          <w:sz w:val="22"/>
        </w:rPr>
        <w:t>Power connectivity ~1/3 of AI-related business, content increasing 1.5x:</w:t>
      </w:r>
      <w:r>
        <w:rPr>
          <w:rFonts w:ascii="Calibri" w:hAnsi="Calibri"/>
          <w:color w:val="525866"/>
          <w:sz w:val="22"/>
        </w:rPr>
        <w:t xml:space="preserve"> "Power connectivity currently accounts for approximately one-third of the company's AI-related business." Content increases in power connectivity could be 1.5x traditional power content. Direct read-through for APH's power interconnect portfolio (bus bars, liquid-cooled bus bars).</w:t>
      </w:r>
    </w:p>
    <w:p>
      <w:pPr>
        <w:pStyle w:val="ListBullet"/>
        <w:ind w:left="360" w:hanging="360"/>
      </w:pPr>
      <w:r>
        <w:rPr>
          <w:rFonts w:ascii="Calibri" w:hAnsi="Calibri"/>
          <w:b/>
          <w:color w:val="525866"/>
          <w:sz w:val="22"/>
        </w:rPr>
        <w:t>Defense aerospace +12%, secular trend with no slowdown expected:</w:t>
      </w:r>
      <w:r>
        <w:rPr>
          <w:rFonts w:ascii="Calibri" w:hAnsi="Calibri"/>
          <w:color w:val="525866"/>
          <w:sz w:val="22"/>
        </w:rPr>
        <w:t xml:space="preserve"> "The defense market is experiencing a different inflection point due to global geopolitics, leading to an increase in program velocity, particularly in Europe and the US." Defense growing faster than commercial aerospace. Positive read-through for APH's guided "high single-digit" sequential defense growth in Q2.</w:t>
      </w:r>
    </w:p>
    <w:p>
      <w:pPr>
        <w:pStyle w:val="ListBullet"/>
        <w:ind w:left="360" w:hanging="360"/>
      </w:pPr>
      <w:r>
        <w:rPr>
          <w:rFonts w:ascii="Calibri" w:hAnsi="Calibri"/>
          <w:b/>
          <w:color w:val="525866"/>
          <w:sz w:val="22"/>
        </w:rPr>
        <w:t>Industrial segment orders +36% YoY, organic sales +21%:</w:t>
      </w:r>
      <w:r>
        <w:rPr>
          <w:rFonts w:ascii="Calibri" w:hAnsi="Calibri"/>
          <w:color w:val="525866"/>
          <w:sz w:val="22"/>
        </w:rPr>
        <w:t xml:space="preserve"> "Record industrial orders are fueled by increasing momentum in AI and strong growth across every business within the segment." Broad-based industrial strength is consistent with APH's Q1 industrial commentary (16% organic growth, broad-based across virtually all subsegments).</w:t>
      </w:r>
    </w:p>
    <w:p>
      <w:pPr>
        <w:pStyle w:val="ListBullet"/>
        <w:ind w:left="360" w:hanging="360"/>
      </w:pPr>
      <w:r>
        <w:rPr>
          <w:rFonts w:ascii="Calibri" w:hAnsi="Calibri"/>
          <w:b/>
          <w:color w:val="525866"/>
          <w:sz w:val="22"/>
        </w:rPr>
        <w:t>Q4 FY2026 guidance: sales ~$5.25B (+11% YoY), adj. EPS ~$3.05; FY2026 adj. EPS growth &gt;20%:</w:t>
      </w:r>
      <w:r>
        <w:rPr>
          <w:rFonts w:ascii="Calibri" w:hAnsi="Calibri"/>
          <w:color w:val="525866"/>
          <w:sz w:val="22"/>
        </w:rPr>
        <w:t xml:space="preserve"> TEL's continued strong guidance into Q4 (its fiscal Q4 = calendar Q3) provides forward visibility that demand conditions remain robust through at least September 2026.</w:t>
      </w:r>
    </w:p>
    <w:p>
      <w:pPr>
        <w:pStyle w:val="ListBullet"/>
        <w:ind w:left="360" w:hanging="360"/>
      </w:pPr>
      <w:r>
        <w:rPr>
          <w:rFonts w:ascii="Calibri" w:hAnsi="Calibri"/>
          <w:b/>
          <w:color w:val="525866"/>
          <w:sz w:val="22"/>
        </w:rPr>
        <w:t>Astrodon TDE acquisition (~$1.4B) for power filters and custom power supplies:</w:t>
      </w:r>
      <w:r>
        <w:rPr>
          <w:rFonts w:ascii="Calibri" w:hAnsi="Calibri"/>
          <w:color w:val="525866"/>
          <w:sz w:val="22"/>
        </w:rPr>
        <w:t xml:space="preserve"> Bolt-on acquisition expanding TEL's power and filter products for semiconductor equipment, defense, and medical. Signals continued M&amp;A activity in the connector/interconnect space — consistent with APH's own M&amp;A strategy.</w:t>
      </w:r>
    </w:p>
    <w:p>
      <w:pPr>
        <w:pStyle w:val="Heading3"/>
      </w:pPr>
      <w:r>
        <w:rPr>
          <w:rFonts w:ascii="Calibri" w:hAnsi="Calibri"/>
          <w:b/>
          <w:color w:val="3B4259"/>
          <w:sz w:val="24"/>
        </w:rPr>
        <w:t>Hubbell Inc. (HUBB) — Q2 2026 Earnings (July 28, 2026)</w:t>
      </w:r>
    </w:p>
    <w:p>
      <w:r>
        <w:rPr>
          <w:rFonts w:ascii="Calibri" w:hAnsi="Calibri"/>
          <w:b/>
          <w:color w:val="525866"/>
          <w:sz w:val="22"/>
        </w:rPr>
        <w:t xml:space="preserve">Relevance to APH: </w:t>
      </w:r>
      <w:r>
        <w:rPr>
          <w:rFonts w:ascii="Calibri" w:hAnsi="Calibri"/>
          <w:color w:val="525866"/>
          <w:sz w:val="22"/>
        </w:rPr>
        <w:t>Hubbell is a read-through on electrical infrastructure and data center demand — relevant to APH's industrial and power interconnect end markets.</w:t>
      </w:r>
    </w:p>
    <w:p>
      <w:pPr>
        <w:pStyle w:val="ListBullet"/>
        <w:ind w:left="360" w:hanging="360"/>
      </w:pPr>
      <w:r>
        <w:rPr>
          <w:rFonts w:ascii="Calibri" w:hAnsi="Calibri"/>
          <w:b/>
          <w:color w:val="525866"/>
          <w:sz w:val="22"/>
        </w:rPr>
        <w:t>Data center sales +65% in Q2, full-year data center growth raised to ~50%:</w:t>
      </w:r>
      <w:r>
        <w:rPr>
          <w:rFonts w:ascii="Calibri" w:hAnsi="Calibri"/>
          <w:color w:val="525866"/>
          <w:sz w:val="22"/>
        </w:rPr>
        <w:t xml:space="preserve"> "Data center sales were up approximately 65% in the quarter as capacity additions, new product introductions, and content gains drove outgrowth in a strong underlying market." Hubbell raised its full-year electrical solutions organic growth to +12–14%, driven by data center. Strong positive read-through for APH's IT datacom demand.</w:t>
      </w:r>
    </w:p>
    <w:p>
      <w:pPr>
        <w:pStyle w:val="ListBullet"/>
        <w:ind w:left="360" w:hanging="360"/>
      </w:pPr>
      <w:r>
        <w:rPr>
          <w:rFonts w:ascii="Calibri" w:hAnsi="Calibri"/>
          <w:b/>
          <w:color w:val="525866"/>
          <w:sz w:val="22"/>
        </w:rPr>
        <w:t>Utility Solutions book-to-bill of 1.2x in H1 2026; orders booked into 2027:</w:t>
      </w:r>
      <w:r>
        <w:rPr>
          <w:rFonts w:ascii="Calibri" w:hAnsi="Calibri"/>
          <w:color w:val="525866"/>
          <w:sz w:val="22"/>
        </w:rPr>
        <w:t xml:space="preserve"> "Our first half book-to-bill ratio of approximately 1.2 times for utility solutions is strong and provides high visibility to our second half outlook." Orders starting to be booked into 2027 on transmission and substation side. Consistent with APH's record book-to-bill of 1.24x and multi-year demand visibility.</w:t>
      </w:r>
    </w:p>
    <w:p>
      <w:pPr>
        <w:pStyle w:val="ListBullet"/>
        <w:ind w:left="360" w:hanging="360"/>
      </w:pPr>
      <w:r>
        <w:rPr>
          <w:rFonts w:ascii="Calibri" w:hAnsi="Calibri"/>
          <w:b/>
          <w:color w:val="525866"/>
          <w:sz w:val="22"/>
        </w:rPr>
        <w:t>Full-year 2026 guidance raised: organic growth +9–11%, adj. EPS $20.25–$20.55 (+11–13% YoY):</w:t>
      </w:r>
      <w:r>
        <w:rPr>
          <w:rFonts w:ascii="Calibri" w:hAnsi="Calibri"/>
          <w:color w:val="525866"/>
          <w:sz w:val="22"/>
        </w:rPr>
        <w:t xml:space="preserve"> Hubbell raised guidance across all metrics, citing data center and utility strength. Positive macro read-through for APH's industrial and power interconnect end markets.</w:t>
      </w:r>
    </w:p>
    <w:p>
      <w:pPr>
        <w:pStyle w:val="ListBullet"/>
        <w:ind w:left="360" w:hanging="360"/>
      </w:pPr>
      <w:r>
        <w:rPr>
          <w:rFonts w:ascii="Calibri" w:hAnsi="Calibri"/>
          <w:b/>
          <w:color w:val="525866"/>
          <w:sz w:val="22"/>
        </w:rPr>
        <w:t>Section 301 tariff changes had "minor minor impact":</w:t>
      </w:r>
      <w:r>
        <w:rPr>
          <w:rFonts w:ascii="Calibri" w:hAnsi="Calibri"/>
          <w:color w:val="525866"/>
          <w:sz w:val="22"/>
        </w:rPr>
        <w:t xml:space="preserve"> "Minor minor impact on a go forward basis. So by and large, over the course of this year, any changes in tariff have been relatively small." Consistent with APH's characterization of tariffs as manageable.</w:t>
      </w:r>
    </w:p>
    <w:p>
      <w:pPr>
        <w:pStyle w:val="ListBullet"/>
        <w:ind w:left="360" w:hanging="360"/>
      </w:pPr>
      <w:r>
        <w:rPr>
          <w:rFonts w:ascii="Calibri" w:hAnsi="Calibri"/>
          <w:b/>
          <w:color w:val="525866"/>
          <w:sz w:val="22"/>
        </w:rPr>
        <w:t>Light industrial markets showing "good momentum":</w:t>
      </w:r>
      <w:r>
        <w:rPr>
          <w:rFonts w:ascii="Calibri" w:hAnsi="Calibri"/>
          <w:color w:val="525866"/>
          <w:sz w:val="22"/>
        </w:rPr>
        <w:t xml:space="preserve"> Hubbell noted good momentum in light industrial markets, consistent with APH's Q1 industrial organic growth of 16% and guided "high single-digit" sequential increase in Q2.</w:t>
      </w:r>
    </w:p>
    <w:p>
      <w:pPr>
        <w:pStyle w:val="Heading3"/>
      </w:pPr>
      <w:r>
        <w:rPr>
          <w:rFonts w:ascii="Calibri" w:hAnsi="Calibri"/>
          <w:b/>
          <w:color w:val="3B4259"/>
          <w:sz w:val="24"/>
        </w:rPr>
        <w:t>Jabil Inc. (JBL) — Q3 FY2026 Earnings (June 17, 2026)</w:t>
      </w:r>
    </w:p>
    <w:p>
      <w:r>
        <w:rPr>
          <w:rFonts w:ascii="Calibri" w:hAnsi="Calibri"/>
          <w:b/>
          <w:color w:val="525866"/>
          <w:sz w:val="22"/>
        </w:rPr>
        <w:t xml:space="preserve">Relevance to APH: </w:t>
      </w:r>
      <w:r>
        <w:rPr>
          <w:rFonts w:ascii="Calibri" w:hAnsi="Calibri"/>
          <w:color w:val="525866"/>
          <w:sz w:val="22"/>
        </w:rPr>
        <w:t>Jabil is a read-through on AI data center infrastructure manufacturing demand — relevant to APH's IT datacom and industrial end markets.</w:t>
      </w:r>
    </w:p>
    <w:p>
      <w:pPr>
        <w:pStyle w:val="ListBullet"/>
        <w:ind w:left="360" w:hanging="360"/>
      </w:pPr>
      <w:r>
        <w:rPr>
          <w:rFonts w:ascii="Calibri" w:hAnsi="Calibri"/>
          <w:b/>
          <w:color w:val="525866"/>
          <w:sz w:val="22"/>
        </w:rPr>
        <w:t>AI-related revenue raised to $13.6B for FY2026 (+$500M vs. March outlook), ~50% YoY growth:</w:t>
      </w:r>
      <w:r>
        <w:rPr>
          <w:rFonts w:ascii="Calibri" w:hAnsi="Calibri"/>
          <w:color w:val="525866"/>
          <w:sz w:val="22"/>
        </w:rPr>
        <w:t xml:space="preserve"> "AI infrastructure demand remains extremely strong, leading to a meaningfully higher full-year AI related revenue outlook." Jabil won a third hyperscaler customer in Q3. Strong positive read-through for APH's AI-driven IT datacom demand.</w:t>
      </w:r>
    </w:p>
    <w:p>
      <w:pPr>
        <w:pStyle w:val="ListBullet"/>
        <w:ind w:left="360" w:hanging="360"/>
      </w:pPr>
      <w:r>
        <w:rPr>
          <w:rFonts w:ascii="Calibri" w:hAnsi="Calibri"/>
          <w:b/>
          <w:color w:val="525866"/>
          <w:sz w:val="22"/>
        </w:rPr>
        <w:t>Intelligent Infrastructure revenue +21% YoY in Q3; Q4 guided +32% YoY:</w:t>
      </w:r>
      <w:r>
        <w:rPr>
          <w:rFonts w:ascii="Calibri" w:hAnsi="Calibri"/>
          <w:color w:val="525866"/>
          <w:sz w:val="22"/>
        </w:rPr>
        <w:t xml:space="preserve"> Networking and communications surged 50%+ in Q3. Q4 guidance implies continued acceleration. Positive read-through for APH's IT datacom sequential growth trajectory.</w:t>
      </w:r>
    </w:p>
    <w:p>
      <w:pPr>
        <w:pStyle w:val="ListBullet"/>
        <w:ind w:left="360" w:hanging="360"/>
      </w:pPr>
      <w:r>
        <w:rPr>
          <w:rFonts w:ascii="Calibri" w:hAnsi="Calibri"/>
          <w:b/>
          <w:color w:val="525866"/>
          <w:sz w:val="22"/>
        </w:rPr>
        <w:t>FY2027 AI revenue growth expected "similar to FY2026" on a larger base:</w:t>
      </w:r>
      <w:r>
        <w:rPr>
          <w:rFonts w:ascii="Calibri" w:hAnsi="Calibri"/>
          <w:color w:val="525866"/>
          <w:sz w:val="22"/>
        </w:rPr>
        <w:t xml:space="preserve"> "I expect AI related revenue growth in FY27 in percentage terms to be similar to FY26." This multi-year demand visibility is consistent with APH's record orders and customer capacity commitments.</w:t>
      </w:r>
    </w:p>
    <w:p>
      <w:pPr>
        <w:pStyle w:val="ListBullet"/>
        <w:ind w:left="360" w:hanging="360"/>
      </w:pPr>
      <w:r>
        <w:rPr>
          <w:rFonts w:ascii="Calibri" w:hAnsi="Calibri"/>
          <w:b/>
          <w:color w:val="525866"/>
          <w:sz w:val="22"/>
        </w:rPr>
        <w:t>High-density interconnect PCBs in high demand, lead times extending:</w:t>
      </w:r>
      <w:r>
        <w:rPr>
          <w:rFonts w:ascii="Calibri" w:hAnsi="Calibri"/>
          <w:color w:val="525866"/>
          <w:sz w:val="22"/>
        </w:rPr>
        <w:t xml:space="preserve"> "High end, high density interconnect PCBs are in high demand. Lead times have been extending." Supply constraints in interconnect components are a positive pricing signal for APH.</w:t>
      </w:r>
    </w:p>
    <w:p>
      <w:pPr>
        <w:pStyle w:val="ListBullet"/>
        <w:ind w:left="360" w:hanging="360"/>
      </w:pPr>
      <w:r>
        <w:rPr>
          <w:rFonts w:ascii="Calibri" w:hAnsi="Calibri"/>
          <w:b/>
          <w:color w:val="525866"/>
          <w:sz w:val="22"/>
        </w:rPr>
        <w:t>Automotive performing better than expected; renewables improving:</w:t>
      </w:r>
      <w:r>
        <w:rPr>
          <w:rFonts w:ascii="Calibri" w:hAnsi="Calibri"/>
          <w:color w:val="525866"/>
          <w:sz w:val="22"/>
        </w:rPr>
        <w:t xml:space="preserve"> Jabil raised its FY2026 auto revenue outlook to $4.4B (+$200M). Positive read-through for APH's automotive segment, which grew 2% organically in Q1 and is guided to "increase modestly" in Q2.</w:t>
      </w:r>
    </w:p>
    <w:p>
      <w:pPr>
        <w:pStyle w:val="Heading3"/>
      </w:pPr>
      <w:r>
        <w:rPr>
          <w:rFonts w:ascii="Calibri" w:hAnsi="Calibri"/>
          <w:b/>
          <w:color w:val="3B4259"/>
          <w:sz w:val="24"/>
        </w:rPr>
        <w:t>Teledyne Technologies (TDY) — Q2 2026 Earnings (July 22, 2026)</w:t>
      </w:r>
    </w:p>
    <w:p>
      <w:r>
        <w:rPr>
          <w:rFonts w:ascii="Calibri" w:hAnsi="Calibri"/>
          <w:b/>
          <w:color w:val="525866"/>
          <w:sz w:val="22"/>
        </w:rPr>
        <w:t xml:space="preserve">Relevance to APH: </w:t>
      </w:r>
      <w:r>
        <w:rPr>
          <w:rFonts w:ascii="Calibri" w:hAnsi="Calibri"/>
          <w:color w:val="525866"/>
          <w:sz w:val="22"/>
        </w:rPr>
        <w:t>Teledyne is a read-through on defense electronics and instrumentation demand — relevant to APH's defense and industrial end markets.</w:t>
      </w:r>
    </w:p>
    <w:p>
      <w:pPr>
        <w:pStyle w:val="ListBullet"/>
        <w:ind w:left="360" w:hanging="360"/>
      </w:pPr>
      <w:r>
        <w:rPr>
          <w:rFonts w:ascii="Calibri" w:hAnsi="Calibri"/>
          <w:b/>
          <w:color w:val="525866"/>
          <w:sz w:val="22"/>
        </w:rPr>
        <w:t>Orders exceeded sales for 11th consecutive quarter; book-to-bill of 1.23x:</w:t>
      </w:r>
      <w:r>
        <w:rPr>
          <w:rFonts w:ascii="Calibri" w:hAnsi="Calibri"/>
          <w:color w:val="525866"/>
          <w:sz w:val="22"/>
        </w:rPr>
        <w:t xml:space="preserve"> "Orders have now exceeded sales for the 11th consecutive quarter, and we ended June with approximately $5 billion of funded backlog." Digital Imaging book-to-bill &gt;1.4x. Consistent with APH's broad-based order strength across all end markets.</w:t>
      </w:r>
    </w:p>
    <w:p>
      <w:pPr>
        <w:pStyle w:val="ListBullet"/>
        <w:ind w:left="360" w:hanging="360"/>
      </w:pPr>
      <w:r>
        <w:rPr>
          <w:rFonts w:ascii="Calibri" w:hAnsi="Calibri"/>
          <w:b/>
          <w:color w:val="525866"/>
          <w:sz w:val="22"/>
        </w:rPr>
        <w:t>2026 defense sales expected to grow at high single-digit rates with pockets of double-digit growth:</w:t>
      </w:r>
      <w:r>
        <w:rPr>
          <w:rFonts w:ascii="Calibri" w:hAnsi="Calibri"/>
          <w:color w:val="525866"/>
          <w:sz w:val="22"/>
        </w:rPr>
        <w:t xml:space="preserve"> "We think 2026 defense sales should increase at a high single digit rates with pockets of double digit growth." Unmanned systems, missile defense, and space are key drivers. Positive read-through for APH's guided "high single-digit" sequential defense growth in Q2.</w:t>
      </w:r>
    </w:p>
    <w:p>
      <w:pPr>
        <w:pStyle w:val="ListBullet"/>
        <w:ind w:left="360" w:hanging="360"/>
      </w:pPr>
      <w:r>
        <w:rPr>
          <w:rFonts w:ascii="Calibri" w:hAnsi="Calibri"/>
          <w:b/>
          <w:color w:val="525866"/>
          <w:sz w:val="22"/>
        </w:rPr>
        <w:t>Full-year 2026 revenue raised by $120M; non-GAAP EPS raised by $0.55/share at midpoint:</w:t>
      </w:r>
      <w:r>
        <w:rPr>
          <w:rFonts w:ascii="Calibri" w:hAnsi="Calibri"/>
          <w:color w:val="525866"/>
          <w:sz w:val="22"/>
        </w:rPr>
        <w:t xml:space="preserve"> Teledyne raised guidance across all metrics, citing broad-based strength in defense and commercial markets. Positive macro read-through for APH's defense and industrial segments.</w:t>
      </w:r>
    </w:p>
    <w:p>
      <w:pPr>
        <w:pStyle w:val="ListBullet"/>
        <w:ind w:left="360" w:hanging="360"/>
      </w:pPr>
      <w:r>
        <w:rPr>
          <w:rFonts w:ascii="Calibri" w:hAnsi="Calibri"/>
          <w:b/>
          <w:color w:val="525866"/>
          <w:sz w:val="22"/>
        </w:rPr>
        <w:t>Short-cycle commercial businesses now expected to grow mid-single digits (vs. flat to low single-digit prior):</w:t>
      </w:r>
      <w:r>
        <w:rPr>
          <w:rFonts w:ascii="Calibri" w:hAnsi="Calibri"/>
          <w:color w:val="525866"/>
          <w:sz w:val="22"/>
        </w:rPr>
        <w:t xml:space="preserve"> Industrial and scientific vision, semiconductor inspection, and healthcare all showing better-than-expected demand. Consistent with APH's broad-based industrial re-acceleration.</w:t>
      </w:r>
    </w:p>
    <w:p>
      <w:pPr>
        <w:pStyle w:val="ListBullet"/>
        <w:ind w:left="360" w:hanging="360"/>
      </w:pPr>
      <w:r>
        <w:rPr>
          <w:rFonts w:ascii="Calibri" w:hAnsi="Calibri"/>
          <w:b/>
          <w:color w:val="525866"/>
          <w:sz w:val="22"/>
        </w:rPr>
        <w:t>Interconnects for Virginia and Columbia submarines +20% YoY:</w:t>
      </w:r>
      <w:r>
        <w:rPr>
          <w:rFonts w:ascii="Calibri" w:hAnsi="Calibri"/>
          <w:color w:val="525866"/>
          <w:sz w:val="22"/>
        </w:rPr>
        <w:t xml:space="preserve"> Defense-related marine interconnect demand is strong. Direct read-through for APH's defense interconnect business, which grew 25% organically in Q1 2026.</w:t>
      </w:r>
    </w:p>
    <w:p>
      <w:pPr>
        <w:pStyle w:val="Heading3"/>
      </w:pPr>
      <w:r>
        <w:rPr>
          <w:rFonts w:ascii="Calibri" w:hAnsi="Calibri"/>
          <w:b/>
          <w:color w:val="3B4259"/>
          <w:sz w:val="24"/>
        </w:rPr>
        <w:t>Sanmina Corporation (SANM) — Q3 FY2026 Earnings (July 27, 2026)</w:t>
      </w:r>
    </w:p>
    <w:p>
      <w:r>
        <w:rPr>
          <w:rFonts w:ascii="Calibri" w:hAnsi="Calibri"/>
          <w:b/>
          <w:color w:val="525866"/>
          <w:sz w:val="22"/>
        </w:rPr>
        <w:t xml:space="preserve">Relevance to APH: </w:t>
      </w:r>
      <w:r>
        <w:rPr>
          <w:rFonts w:ascii="Calibri" w:hAnsi="Calibri"/>
          <w:color w:val="525866"/>
          <w:sz w:val="22"/>
        </w:rPr>
        <w:t>Sanmina is a read-through on AI data center manufacturing and defense electronics demand.</w:t>
      </w:r>
    </w:p>
    <w:p>
      <w:pPr>
        <w:pStyle w:val="ListBullet"/>
        <w:ind w:left="360" w:hanging="360"/>
      </w:pPr>
      <w:r>
        <w:rPr>
          <w:rFonts w:ascii="Calibri" w:hAnsi="Calibri"/>
          <w:b/>
          <w:color w:val="525866"/>
          <w:sz w:val="22"/>
        </w:rPr>
        <w:t>Communication networks, cloud and AI infrastructure = 62% of revenue, +173% YoY:</w:t>
      </w:r>
      <w:r>
        <w:rPr>
          <w:rFonts w:ascii="Calibri" w:hAnsi="Calibri"/>
          <w:color w:val="525866"/>
          <w:sz w:val="22"/>
        </w:rPr>
        <w:t xml:space="preserve"> "AI is driving growth in this entire end market." Core business communication networks and cloud infrastructure grew 30%+ in Q3, accelerating from 20% historical pace. Strong positive read-through for APH's IT datacom demand.</w:t>
      </w:r>
    </w:p>
    <w:p>
      <w:pPr>
        <w:pStyle w:val="ListBullet"/>
        <w:ind w:left="360" w:hanging="360"/>
      </w:pPr>
      <w:r>
        <w:rPr>
          <w:rFonts w:ascii="Calibri" w:hAnsi="Calibri"/>
          <w:b/>
          <w:color w:val="525866"/>
          <w:sz w:val="22"/>
        </w:rPr>
        <w:t>Book-to-bill better than 1.1x; strong pipeline for FY2027–2028:</w:t>
      </w:r>
      <w:r>
        <w:rPr>
          <w:rFonts w:ascii="Calibri" w:hAnsi="Calibri"/>
          <w:color w:val="525866"/>
          <w:sz w:val="22"/>
        </w:rPr>
        <w:t xml:space="preserve"> "Bookings in the third quarter were strong, book-to-bill better than 1.1." Strong pipeline of new projects for FY2027–2028. Consistent with APH's multi-year demand visibility.</w:t>
      </w:r>
    </w:p>
    <w:p>
      <w:pPr>
        <w:pStyle w:val="ListBullet"/>
        <w:ind w:left="360" w:hanging="360"/>
      </w:pPr>
      <w:r>
        <w:rPr>
          <w:rFonts w:ascii="Calibri" w:hAnsi="Calibri"/>
          <w:b/>
          <w:color w:val="525866"/>
          <w:sz w:val="22"/>
        </w:rPr>
        <w:t>FY2027 revenue guidance of $16B+; AI demand "very strong":</w:t>
      </w:r>
      <w:r>
        <w:rPr>
          <w:rFonts w:ascii="Calibri" w:hAnsi="Calibri"/>
          <w:color w:val="525866"/>
          <w:sz w:val="22"/>
        </w:rPr>
        <w:t xml:space="preserve"> "We are very confident in shipping $16 plus billion dollars in fiscal year 27." AI demand described as "very strong" with no signs of deceleration. Positive read-through for APH's sustained IT datacom growth outlook.</w:t>
      </w:r>
    </w:p>
    <w:p>
      <w:pPr>
        <w:pStyle w:val="ListBullet"/>
        <w:ind w:left="360" w:hanging="360"/>
      </w:pPr>
      <w:r>
        <w:rPr>
          <w:rFonts w:ascii="Calibri" w:hAnsi="Calibri"/>
          <w:b/>
          <w:color w:val="525866"/>
          <w:sz w:val="22"/>
        </w:rPr>
        <w:t>Defense and aerospace growth expected to continue; satellite market expanding:</w:t>
      </w:r>
      <w:r>
        <w:rPr>
          <w:rFonts w:ascii="Calibri" w:hAnsi="Calibri"/>
          <w:color w:val="525866"/>
          <w:sz w:val="22"/>
        </w:rPr>
        <w:t xml:space="preserve"> "We expect the growth in traditional USA defense and aerospace business to continue." Expanding customer base in satellite market with strong demand in 2027–2028. Positive read-through for APH's defense segment.</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Report Date</w:t>
            </w:r>
          </w:p>
        </w:tc>
        <w:tc>
          <w:tcPr>
            <w:tcW w:type="dxa" w:w="2160"/>
            <w:shd w:val="clear" w:color="auto" w:fill="3B4259"/>
          </w:tcPr>
          <w:p>
            <w:r>
              <w:rPr>
                <w:rFonts w:ascii="Calibri" w:hAnsi="Calibri"/>
                <w:b/>
                <w:color w:val="FFFFFF"/>
                <w:sz w:val="22"/>
              </w:rPr>
              <w:t>Key Read-Through for APH</w:t>
            </w:r>
          </w:p>
        </w:tc>
        <w:tc>
          <w:tcPr>
            <w:tcW w:type="dxa" w:w="2160"/>
            <w:shd w:val="clear" w:color="auto" w:fill="3B4259"/>
          </w:tcPr>
          <w:p>
            <w:r>
              <w:rPr>
                <w:rFonts w:ascii="Calibri" w:hAnsi="Calibri"/>
                <w:b/>
                <w:color w:val="FFFFFF"/>
                <w:sz w:val="22"/>
              </w:rPr>
              <w:t>Signal</w:t>
            </w:r>
          </w:p>
        </w:tc>
      </w:tr>
      <w:tr>
        <w:tc>
          <w:tcPr>
            <w:tcW w:type="dxa" w:w="2160"/>
          </w:tcPr>
          <w:p>
            <w:r>
              <w:rPr>
                <w:rFonts w:ascii="Calibri" w:hAnsi="Calibri"/>
                <w:sz w:val="22"/>
              </w:rPr>
              <w:t>Coherent (COHR)</w:t>
            </w:r>
          </w:p>
        </w:tc>
        <w:tc>
          <w:tcPr>
            <w:tcW w:type="dxa" w:w="2160"/>
          </w:tcPr>
          <w:p>
            <w:r>
              <w:rPr>
                <w:rFonts w:ascii="Calibri" w:hAnsi="Calibri"/>
                <w:sz w:val="22"/>
              </w:rPr>
              <w:t>May 6, 2026</w:t>
            </w:r>
          </w:p>
        </w:tc>
        <w:tc>
          <w:tcPr>
            <w:tcW w:type="dxa" w:w="2160"/>
          </w:tcPr>
          <w:p>
            <w:r>
              <w:rPr>
                <w:rFonts w:ascii="Calibri" w:hAnsi="Calibri"/>
                <w:sz w:val="22"/>
              </w:rPr>
              <w:t>Record backlog to 2028; 1.6T ramp faster than expected; CPO $15B+ TAM; pricing "very healthy"</w:t>
            </w:r>
          </w:p>
        </w:tc>
        <w:tc>
          <w:tcPr>
            <w:tcW w:type="dxa" w:w="2160"/>
          </w:tcPr>
          <w:p>
            <w:r>
              <w:rPr>
                <w:rFonts w:ascii="Calibri" w:hAnsi="Calibri"/>
                <w:b/>
                <w:color w:val="30A46C"/>
                <w:sz w:val="22"/>
              </w:rPr>
              <w:t>Positive</w:t>
            </w:r>
          </w:p>
        </w:tc>
      </w:tr>
      <w:tr>
        <w:tc>
          <w:tcPr>
            <w:tcW w:type="dxa" w:w="2160"/>
          </w:tcPr>
          <w:p>
            <w:r>
              <w:rPr>
                <w:rFonts w:ascii="Calibri" w:hAnsi="Calibri"/>
                <w:sz w:val="22"/>
              </w:rPr>
              <w:t>Eaton (ETN)</w:t>
            </w:r>
          </w:p>
        </w:tc>
        <w:tc>
          <w:tcPr>
            <w:tcW w:type="dxa" w:w="2160"/>
          </w:tcPr>
          <w:p>
            <w:r>
              <w:rPr>
                <w:rFonts w:ascii="Calibri" w:hAnsi="Calibri"/>
                <w:sz w:val="22"/>
              </w:rPr>
              <w:t>May 5, 2026</w:t>
            </w:r>
          </w:p>
        </w:tc>
        <w:tc>
          <w:tcPr>
            <w:tcW w:type="dxa" w:w="2160"/>
          </w:tcPr>
          <w:p>
            <w:r>
              <w:rPr>
                <w:rFonts w:ascii="Calibri" w:hAnsi="Calibri"/>
                <w:sz w:val="22"/>
              </w:rPr>
              <w:t>Data center orders +240%; 32 GW under construction; power demand to triple 2025–2030; MOEM back up</w:t>
            </w:r>
          </w:p>
        </w:tc>
        <w:tc>
          <w:tcPr>
            <w:tcW w:type="dxa" w:w="2160"/>
          </w:tcPr>
          <w:p>
            <w:r>
              <w:rPr>
                <w:rFonts w:ascii="Calibri" w:hAnsi="Calibri"/>
                <w:b/>
                <w:color w:val="30A46C"/>
                <w:sz w:val="22"/>
              </w:rPr>
              <w:t>Positive</w:t>
            </w:r>
          </w:p>
        </w:tc>
      </w:tr>
      <w:tr>
        <w:tc>
          <w:tcPr>
            <w:tcW w:type="dxa" w:w="2160"/>
          </w:tcPr>
          <w:p>
            <w:r>
              <w:rPr>
                <w:rFonts w:ascii="Calibri" w:hAnsi="Calibri"/>
                <w:sz w:val="22"/>
              </w:rPr>
              <w:t>Jabil (JBL)</w:t>
            </w:r>
          </w:p>
        </w:tc>
        <w:tc>
          <w:tcPr>
            <w:tcW w:type="dxa" w:w="2160"/>
          </w:tcPr>
          <w:p>
            <w:r>
              <w:rPr>
                <w:rFonts w:ascii="Calibri" w:hAnsi="Calibri"/>
                <w:sz w:val="22"/>
              </w:rPr>
              <w:t>Jun 17, 2026</w:t>
            </w:r>
          </w:p>
        </w:tc>
        <w:tc>
          <w:tcPr>
            <w:tcW w:type="dxa" w:w="2160"/>
          </w:tcPr>
          <w:p>
            <w:r>
              <w:rPr>
                <w:rFonts w:ascii="Calibri" w:hAnsi="Calibri"/>
                <w:sz w:val="22"/>
              </w:rPr>
              <w:t>AI revenue raised to $13.6B; 3rd hyperscaler win; FY27 AI growth similar to FY26; interconnect PCB lead times extending</w:t>
            </w:r>
          </w:p>
        </w:tc>
        <w:tc>
          <w:tcPr>
            <w:tcW w:type="dxa" w:w="2160"/>
          </w:tcPr>
          <w:p>
            <w:r>
              <w:rPr>
                <w:rFonts w:ascii="Calibri" w:hAnsi="Calibri"/>
                <w:b/>
                <w:color w:val="30A46C"/>
                <w:sz w:val="22"/>
              </w:rPr>
              <w:t>Positive</w:t>
            </w:r>
          </w:p>
        </w:tc>
      </w:tr>
      <w:tr>
        <w:tc>
          <w:tcPr>
            <w:tcW w:type="dxa" w:w="2160"/>
          </w:tcPr>
          <w:p>
            <w:r>
              <w:rPr>
                <w:rFonts w:ascii="Calibri" w:hAnsi="Calibri"/>
                <w:sz w:val="22"/>
              </w:rPr>
              <w:t>Corning (GLW)</w:t>
            </w:r>
          </w:p>
        </w:tc>
        <w:tc>
          <w:tcPr>
            <w:tcW w:type="dxa" w:w="2160"/>
          </w:tcPr>
          <w:p>
            <w:r>
              <w:rPr>
                <w:rFonts w:ascii="Calibri" w:hAnsi="Calibri"/>
                <w:sz w:val="22"/>
              </w:rPr>
              <w:t>Jul 28, 2026</w:t>
            </w:r>
          </w:p>
        </w:tc>
        <w:tc>
          <w:tcPr>
            <w:tcW w:type="dxa" w:w="2160"/>
          </w:tcPr>
          <w:p>
            <w:r>
              <w:rPr>
                <w:rFonts w:ascii="Calibri" w:hAnsi="Calibri"/>
                <w:sz w:val="22"/>
              </w:rPr>
              <w:t>Optical Comms +32% YoY; enterprise AI sales nearly doubled; Meta $6B + Amazon multibillion LTAs; optical content/GPU to rise 1.3–1.5x by 2028</w:t>
            </w:r>
          </w:p>
        </w:tc>
        <w:tc>
          <w:tcPr>
            <w:tcW w:type="dxa" w:w="2160"/>
          </w:tcPr>
          <w:p>
            <w:r>
              <w:rPr>
                <w:rFonts w:ascii="Calibri" w:hAnsi="Calibri"/>
                <w:b/>
                <w:color w:val="30A46C"/>
                <w:sz w:val="22"/>
              </w:rPr>
              <w:t>Positive</w:t>
            </w:r>
          </w:p>
        </w:tc>
      </w:tr>
      <w:tr>
        <w:tc>
          <w:tcPr>
            <w:tcW w:type="dxa" w:w="2160"/>
          </w:tcPr>
          <w:p>
            <w:r>
              <w:rPr>
                <w:rFonts w:ascii="Calibri" w:hAnsi="Calibri"/>
                <w:sz w:val="22"/>
              </w:rPr>
              <w:t>TE Connectivity (TEL)</w:t>
            </w:r>
          </w:p>
        </w:tc>
        <w:tc>
          <w:tcPr>
            <w:tcW w:type="dxa" w:w="2160"/>
          </w:tcPr>
          <w:p>
            <w:r>
              <w:rPr>
                <w:rFonts w:ascii="Calibri" w:hAnsi="Calibri"/>
                <w:sz w:val="22"/>
              </w:rPr>
              <w:t>Jul 22, 2026</w:t>
            </w:r>
          </w:p>
        </w:tc>
        <w:tc>
          <w:tcPr>
            <w:tcW w:type="dxa" w:w="2160"/>
          </w:tcPr>
          <w:p>
            <w:r>
              <w:rPr>
                <w:rFonts w:ascii="Calibri" w:hAnsi="Calibri"/>
                <w:sz w:val="22"/>
              </w:rPr>
              <w:t>Record orders $5.7B (+27% YoY); DDN YTD orders +70%; AI cloud ahead of schedule; defense +12%; industrial orders +36%</w:t>
            </w:r>
          </w:p>
        </w:tc>
        <w:tc>
          <w:tcPr>
            <w:tcW w:type="dxa" w:w="2160"/>
          </w:tcPr>
          <w:p>
            <w:r>
              <w:rPr>
                <w:rFonts w:ascii="Calibri" w:hAnsi="Calibri"/>
                <w:b/>
                <w:color w:val="30A46C"/>
                <w:sz w:val="22"/>
              </w:rPr>
              <w:t>Positive</w:t>
            </w:r>
          </w:p>
        </w:tc>
      </w:tr>
      <w:tr>
        <w:tc>
          <w:tcPr>
            <w:tcW w:type="dxa" w:w="2160"/>
          </w:tcPr>
          <w:p>
            <w:r>
              <w:rPr>
                <w:rFonts w:ascii="Calibri" w:hAnsi="Calibri"/>
                <w:sz w:val="22"/>
              </w:rPr>
              <w:t>Hubbell (HUBB)</w:t>
            </w:r>
          </w:p>
        </w:tc>
        <w:tc>
          <w:tcPr>
            <w:tcW w:type="dxa" w:w="2160"/>
          </w:tcPr>
          <w:p>
            <w:r>
              <w:rPr>
                <w:rFonts w:ascii="Calibri" w:hAnsi="Calibri"/>
                <w:sz w:val="22"/>
              </w:rPr>
              <w:t>Jul 28, 2026</w:t>
            </w:r>
          </w:p>
        </w:tc>
        <w:tc>
          <w:tcPr>
            <w:tcW w:type="dxa" w:w="2160"/>
          </w:tcPr>
          <w:p>
            <w:r>
              <w:rPr>
                <w:rFonts w:ascii="Calibri" w:hAnsi="Calibri"/>
                <w:sz w:val="22"/>
              </w:rPr>
              <w:t>Data center sales +65%; utility B2B 1.2x; full-year guidance raised; tariff impact "minor minor"</w:t>
            </w:r>
          </w:p>
        </w:tc>
        <w:tc>
          <w:tcPr>
            <w:tcW w:type="dxa" w:w="2160"/>
          </w:tcPr>
          <w:p>
            <w:r>
              <w:rPr>
                <w:rFonts w:ascii="Calibri" w:hAnsi="Calibri"/>
                <w:b/>
                <w:color w:val="30A46C"/>
                <w:sz w:val="22"/>
              </w:rPr>
              <w:t>Positive</w:t>
            </w:r>
          </w:p>
        </w:tc>
      </w:tr>
      <w:tr>
        <w:tc>
          <w:tcPr>
            <w:tcW w:type="dxa" w:w="2160"/>
          </w:tcPr>
          <w:p>
            <w:r>
              <w:rPr>
                <w:rFonts w:ascii="Calibri" w:hAnsi="Calibri"/>
                <w:sz w:val="22"/>
              </w:rPr>
              <w:t>Teledyne (TDY)</w:t>
            </w:r>
          </w:p>
        </w:tc>
        <w:tc>
          <w:tcPr>
            <w:tcW w:type="dxa" w:w="2160"/>
          </w:tcPr>
          <w:p>
            <w:r>
              <w:rPr>
                <w:rFonts w:ascii="Calibri" w:hAnsi="Calibri"/>
                <w:sz w:val="22"/>
              </w:rPr>
              <w:t>Jul 22, 2026</w:t>
            </w:r>
          </w:p>
        </w:tc>
        <w:tc>
          <w:tcPr>
            <w:tcW w:type="dxa" w:w="2160"/>
          </w:tcPr>
          <w:p>
            <w:r>
              <w:rPr>
                <w:rFonts w:ascii="Calibri" w:hAnsi="Calibri"/>
                <w:sz w:val="22"/>
              </w:rPr>
              <w:t>Defense orders exceeded sales for 11th consecutive quarter; B2B 1.23x; defense +HSD; short-cycle commercial now mid-SD growth</w:t>
            </w:r>
          </w:p>
        </w:tc>
        <w:tc>
          <w:tcPr>
            <w:tcW w:type="dxa" w:w="2160"/>
          </w:tcPr>
          <w:p>
            <w:r>
              <w:rPr>
                <w:rFonts w:ascii="Calibri" w:hAnsi="Calibri"/>
                <w:b/>
                <w:color w:val="30A46C"/>
                <w:sz w:val="22"/>
              </w:rPr>
              <w:t>Positive</w:t>
            </w:r>
          </w:p>
        </w:tc>
      </w:tr>
      <w:tr>
        <w:tc>
          <w:tcPr>
            <w:tcW w:type="dxa" w:w="2160"/>
          </w:tcPr>
          <w:p>
            <w:r>
              <w:rPr>
                <w:rFonts w:ascii="Calibri" w:hAnsi="Calibri"/>
                <w:sz w:val="22"/>
              </w:rPr>
              <w:t>Sanmina (SANM)</w:t>
            </w:r>
          </w:p>
        </w:tc>
        <w:tc>
          <w:tcPr>
            <w:tcW w:type="dxa" w:w="2160"/>
          </w:tcPr>
          <w:p>
            <w:r>
              <w:rPr>
                <w:rFonts w:ascii="Calibri" w:hAnsi="Calibri"/>
                <w:sz w:val="22"/>
              </w:rPr>
              <w:t>Jul 27, 2026</w:t>
            </w:r>
          </w:p>
        </w:tc>
        <w:tc>
          <w:tcPr>
            <w:tcW w:type="dxa" w:w="2160"/>
          </w:tcPr>
          <w:p>
            <w:r>
              <w:rPr>
                <w:rFonts w:ascii="Calibri" w:hAnsi="Calibri"/>
                <w:sz w:val="22"/>
              </w:rPr>
              <w:t>AI/cloud = 62% of revenue, +173% YoY; B2B &gt;1.1x; FY27 $16B+ revenue; AI demand "very strong"</w:t>
            </w:r>
          </w:p>
        </w:tc>
        <w:tc>
          <w:tcPr>
            <w:tcW w:type="dxa" w:w="2160"/>
          </w:tcPr>
          <w:p>
            <w:r>
              <w:rPr>
                <w:rFonts w:ascii="Calibri" w:hAnsi="Calibri"/>
                <w:b/>
                <w:color w:val="30A46C"/>
                <w:sz w:val="22"/>
              </w:rPr>
              <w:t>Positive</w:t>
            </w:r>
          </w:p>
        </w:tc>
      </w:tr>
    </w:tbl>
    <w:p>
      <w:r>
        <w:rPr>
          <w:rFonts w:ascii="Calibri" w:hAnsi="Calibri"/>
          <w:i/>
          <w:color w:val="525866"/>
          <w:sz w:val="22"/>
        </w:rPr>
        <w:t>All peer commentary is from earnings calls or investor events occurring after APH's Q1 2026 earnings date (April 29, 2026) and reflects conditions relevant to APH's Q2 2026 reporting period. No prior-quarter earnings results are included.</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The only insider activity since the Q1 earnings date is a cluster of open-market sales by CEO Richard Norwitt totaling ~130,775 shares (~$18M) in early May 2026 — these were discretionary (not 10b5-1 plan) and contributed to the post-earnings stock pullback. No insider purchases have been filed. The sales are notable in size but not unusual for Norwitt's historical pattern; he retains a substantial ~1.93M share position.</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Approx.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Richard Adam Norwitt</w:t>
            </w:r>
          </w:p>
        </w:tc>
        <w:tc>
          <w:tcPr>
            <w:tcW w:type="dxa" w:w="1234"/>
          </w:tcPr>
          <w:p>
            <w:r>
              <w:rPr>
                <w:rFonts w:ascii="Calibri" w:hAnsi="Calibri"/>
                <w:sz w:val="22"/>
              </w:rPr>
              <w:t>President &amp; CEO, Director</w:t>
            </w:r>
          </w:p>
        </w:tc>
        <w:tc>
          <w:tcPr>
            <w:tcW w:type="dxa" w:w="1234"/>
          </w:tcPr>
          <w:p>
            <w:r>
              <w:rPr>
                <w:rFonts w:ascii="Calibri" w:hAnsi="Calibri"/>
                <w:b/>
                <w:color w:val="E5484D"/>
                <w:sz w:val="22"/>
              </w:rPr>
              <w:t>Open Market Sale</w:t>
            </w:r>
          </w:p>
        </w:tc>
        <w:tc>
          <w:tcPr>
            <w:tcW w:type="dxa" w:w="1234"/>
          </w:tcPr>
          <w:p>
            <w:r>
              <w:rPr>
                <w:rFonts w:ascii="Calibri" w:hAnsi="Calibri"/>
                <w:sz w:val="22"/>
              </w:rPr>
              <w:t>61,072</w:t>
            </w:r>
          </w:p>
        </w:tc>
        <w:tc>
          <w:tcPr>
            <w:tcW w:type="dxa" w:w="1234"/>
          </w:tcPr>
          <w:p>
            <w:r>
              <w:rPr>
                <w:rFonts w:ascii="Calibri" w:hAnsi="Calibri"/>
                <w:sz w:val="22"/>
              </w:rPr>
              <w:t>~$8.7M</w:t>
            </w:r>
          </w:p>
        </w:tc>
        <w:tc>
          <w:tcPr>
            <w:tcW w:type="dxa" w:w="1234"/>
          </w:tcPr>
          <w:p>
            <w:r>
              <w:rPr>
                <w:rFonts w:ascii="Calibri" w:hAnsi="Calibri"/>
                <w:sz w:val="22"/>
              </w:rPr>
              <w:t>May 1, 2026</w:t>
            </w:r>
          </w:p>
        </w:tc>
        <w:tc>
          <w:tcPr>
            <w:tcW w:type="dxa" w:w="1234"/>
          </w:tcPr>
          <w:p>
            <w:r>
              <w:rPr>
                <w:rFonts w:ascii="Calibri" w:hAnsi="Calibri"/>
                <w:sz w:val="22"/>
              </w:rPr>
              <w:t>Discretionary; not a 10b5-1 plan. Filed May 5, 2026.</w:t>
            </w:r>
          </w:p>
        </w:tc>
      </w:tr>
      <w:tr>
        <w:tc>
          <w:tcPr>
            <w:tcW w:type="dxa" w:w="1234"/>
          </w:tcPr>
          <w:p>
            <w:r>
              <w:rPr>
                <w:rFonts w:ascii="Calibri" w:hAnsi="Calibri"/>
                <w:sz w:val="22"/>
              </w:rPr>
              <w:t>Richard Adam Norwitt</w:t>
            </w:r>
          </w:p>
        </w:tc>
        <w:tc>
          <w:tcPr>
            <w:tcW w:type="dxa" w:w="1234"/>
          </w:tcPr>
          <w:p>
            <w:r>
              <w:rPr>
                <w:rFonts w:ascii="Calibri" w:hAnsi="Calibri"/>
                <w:sz w:val="22"/>
              </w:rPr>
              <w:t>President &amp; CEO, Director</w:t>
            </w:r>
          </w:p>
        </w:tc>
        <w:tc>
          <w:tcPr>
            <w:tcW w:type="dxa" w:w="1234"/>
          </w:tcPr>
          <w:p>
            <w:r>
              <w:rPr>
                <w:rFonts w:ascii="Calibri" w:hAnsi="Calibri"/>
                <w:b/>
                <w:color w:val="E5484D"/>
                <w:sz w:val="22"/>
              </w:rPr>
              <w:t>Open Market Sale</w:t>
            </w:r>
          </w:p>
        </w:tc>
        <w:tc>
          <w:tcPr>
            <w:tcW w:type="dxa" w:w="1234"/>
          </w:tcPr>
          <w:p>
            <w:r>
              <w:rPr>
                <w:rFonts w:ascii="Calibri" w:hAnsi="Calibri"/>
                <w:sz w:val="22"/>
              </w:rPr>
              <w:t>52,203</w:t>
            </w:r>
          </w:p>
        </w:tc>
        <w:tc>
          <w:tcPr>
            <w:tcW w:type="dxa" w:w="1234"/>
          </w:tcPr>
          <w:p>
            <w:r>
              <w:rPr>
                <w:rFonts w:ascii="Calibri" w:hAnsi="Calibri"/>
                <w:sz w:val="22"/>
              </w:rPr>
              <w:t>~$7.4M</w:t>
            </w:r>
          </w:p>
        </w:tc>
        <w:tc>
          <w:tcPr>
            <w:tcW w:type="dxa" w:w="1234"/>
          </w:tcPr>
          <w:p>
            <w:r>
              <w:rPr>
                <w:rFonts w:ascii="Calibri" w:hAnsi="Calibri"/>
                <w:sz w:val="22"/>
              </w:rPr>
              <w:t>May 4, 2026</w:t>
            </w:r>
          </w:p>
        </w:tc>
        <w:tc>
          <w:tcPr>
            <w:tcW w:type="dxa" w:w="1234"/>
          </w:tcPr>
          <w:p>
            <w:r>
              <w:rPr>
                <w:rFonts w:ascii="Calibri" w:hAnsi="Calibri"/>
                <w:sz w:val="22"/>
              </w:rPr>
              <w:t>Discretionary; not a 10b5-1 plan. Filed May 5, 2026.</w:t>
            </w:r>
          </w:p>
        </w:tc>
      </w:tr>
      <w:tr>
        <w:tc>
          <w:tcPr>
            <w:tcW w:type="dxa" w:w="1234"/>
          </w:tcPr>
          <w:p>
            <w:r>
              <w:rPr>
                <w:rFonts w:ascii="Calibri" w:hAnsi="Calibri"/>
                <w:sz w:val="22"/>
              </w:rPr>
              <w:t>Richard Adam Norwitt</w:t>
            </w:r>
          </w:p>
        </w:tc>
        <w:tc>
          <w:tcPr>
            <w:tcW w:type="dxa" w:w="1234"/>
          </w:tcPr>
          <w:p>
            <w:r>
              <w:rPr>
                <w:rFonts w:ascii="Calibri" w:hAnsi="Calibri"/>
                <w:sz w:val="22"/>
              </w:rPr>
              <w:t>President &amp; CEO, Director</w:t>
            </w:r>
          </w:p>
        </w:tc>
        <w:tc>
          <w:tcPr>
            <w:tcW w:type="dxa" w:w="1234"/>
          </w:tcPr>
          <w:p>
            <w:r>
              <w:rPr>
                <w:rFonts w:ascii="Calibri" w:hAnsi="Calibri"/>
                <w:b/>
                <w:color w:val="E5484D"/>
                <w:sz w:val="22"/>
              </w:rPr>
              <w:t>Open Market Sale</w:t>
            </w:r>
          </w:p>
        </w:tc>
        <w:tc>
          <w:tcPr>
            <w:tcW w:type="dxa" w:w="1234"/>
          </w:tcPr>
          <w:p>
            <w:r>
              <w:rPr>
                <w:rFonts w:ascii="Calibri" w:hAnsi="Calibri"/>
                <w:sz w:val="22"/>
              </w:rPr>
              <w:t>17,500</w:t>
            </w:r>
          </w:p>
        </w:tc>
        <w:tc>
          <w:tcPr>
            <w:tcW w:type="dxa" w:w="1234"/>
          </w:tcPr>
          <w:p>
            <w:r>
              <w:rPr>
                <w:rFonts w:ascii="Calibri" w:hAnsi="Calibri"/>
                <w:sz w:val="22"/>
              </w:rPr>
              <w:t>~$2.4M</w:t>
            </w:r>
          </w:p>
        </w:tc>
        <w:tc>
          <w:tcPr>
            <w:tcW w:type="dxa" w:w="1234"/>
          </w:tcPr>
          <w:p>
            <w:r>
              <w:rPr>
                <w:rFonts w:ascii="Calibri" w:hAnsi="Calibri"/>
                <w:sz w:val="22"/>
              </w:rPr>
              <w:t>May 5, 2026</w:t>
            </w:r>
          </w:p>
        </w:tc>
        <w:tc>
          <w:tcPr>
            <w:tcW w:type="dxa" w:w="1234"/>
          </w:tcPr>
          <w:p>
            <w:r>
              <w:rPr>
                <w:rFonts w:ascii="Calibri" w:hAnsi="Calibri"/>
                <w:sz w:val="22"/>
              </w:rPr>
              <w:t>Discretionary; not a 10b5-1 plan. Filed May 5, 2026.</w:t>
            </w:r>
          </w:p>
        </w:tc>
      </w:tr>
    </w:tbl>
    <w:p>
      <w:r>
        <w:rPr>
          <w:rFonts w:ascii="Calibri" w:hAnsi="Calibri"/>
          <w:i/>
          <w:color w:val="525866"/>
          <w:sz w:val="22"/>
        </w:rPr>
        <w:t>Total CEO sales: ~130,775 shares / ~$18.5M over May 1–5, 2026. Shares sold at prices in the $136–$143 range (post-earnings gap-up levels). Norwitt retains ~1,927,507 shares (direct ownership) following these transactions. No other insiders filed Form 4 transactions in the period. No 10b5-1 plan initiations were disclosed.</w:t>
      </w:r>
    </w:p>
    <w:p>
      <w:r>
        <w:rPr>
          <w:rFonts w:ascii="Calibri" w:hAnsi="Calibri"/>
          <w:i/>
          <w:color w:val="525866"/>
          <w:sz w:val="22"/>
        </w:rPr>
        <w:t>Source: SEC Form 4 filings, filed May 5,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