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Amphenol Corporation (APH)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Amphenol Corporation</w:t>
            </w:r>
          </w:p>
        </w:tc>
      </w:tr>
      <w:tr>
        <w:tc>
          <w:tcPr>
            <w:tcW w:type="dxa" w:w="4320"/>
          </w:tcPr>
          <w:p>
            <w:r>
              <w:rPr>
                <w:rFonts w:ascii="Calibri" w:hAnsi="Calibri"/>
                <w:b/>
                <w:sz w:val="22"/>
              </w:rPr>
              <w:t>Ticker</w:t>
            </w:r>
          </w:p>
        </w:tc>
        <w:tc>
          <w:tcPr>
            <w:tcW w:type="dxa" w:w="4320"/>
          </w:tcPr>
          <w:p>
            <w:r>
              <w:rPr>
                <w:rFonts w:ascii="Calibri" w:hAnsi="Calibri"/>
                <w:sz w:val="22"/>
              </w:rPr>
              <w:t>APH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Expected late July / early August 2026 (exact date TBC)</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Research Cutoff</w:t>
            </w:r>
          </w:p>
        </w:tc>
        <w:tc>
          <w:tcPr>
            <w:tcW w:type="dxa" w:w="4320"/>
          </w:tcPr>
          <w:p>
            <w:r>
              <w:rPr>
                <w:rFonts w:ascii="Calibri" w:hAnsi="Calibri"/>
                <w:sz w:val="22"/>
              </w:rPr>
              <w:t>July 28, 2026 (market close)</w:t>
            </w:r>
          </w:p>
        </w:tc>
      </w:tr>
      <w:tr>
        <w:tc>
          <w:tcPr>
            <w:tcW w:type="dxa" w:w="4320"/>
          </w:tcPr>
          <w:p>
            <w:r>
              <w:rPr>
                <w:rFonts w:ascii="Calibri" w:hAnsi="Calibri"/>
                <w:b/>
                <w:sz w:val="22"/>
              </w:rPr>
              <w:t>Last Earnings</w:t>
            </w:r>
          </w:p>
        </w:tc>
        <w:tc>
          <w:tcPr>
            <w:tcW w:type="dxa" w:w="4320"/>
          </w:tcPr>
          <w:p>
            <w:r>
              <w:rPr>
                <w:rFonts w:ascii="Calibri" w:hAnsi="Calibri"/>
                <w:sz w:val="22"/>
              </w:rPr>
              <w:t>Q1 2026 — reported April 29, 2026</w:t>
            </w:r>
          </w:p>
        </w:tc>
      </w:tr>
      <w:tr>
        <w:tc>
          <w:tcPr>
            <w:tcW w:type="dxa" w:w="4320"/>
          </w:tcPr>
          <w:p>
            <w:r>
              <w:rPr>
                <w:rFonts w:ascii="Calibri" w:hAnsi="Calibri"/>
                <w:b/>
                <w:sz w:val="22"/>
              </w:rPr>
              <w:t>Sector ETF (Chart)</w:t>
            </w:r>
          </w:p>
        </w:tc>
        <w:tc>
          <w:tcPr>
            <w:tcW w:type="dxa" w:w="4320"/>
          </w:tcPr>
          <w:p>
            <w:r>
              <w:rPr>
                <w:rFonts w:ascii="Calibri" w:hAnsi="Calibri"/>
                <w:sz w:val="22"/>
              </w:rPr>
              <w:t>XLI (Industrial Select Sector SPDR) — best fit for APH's diversified industrial/electronic components profile</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without risk — consensus has been revised meaningfully higher since the April 29 print, the bar is elevated, and the stock has de-rated sharply from its June peak, suggesting the market is already pricing in some execution risk. The single biggest swing factor is whether IT datacom sequential organic growth in Q2 meets or exceeds the “low-teens” guidance management provided.</w:t>
      </w:r>
    </w:p>
    <w:p>
      <w:r>
        <w:rPr>
          <w:rFonts w:ascii="Calibri" w:hAnsi="Calibri"/>
          <w:color w:val="525866"/>
          <w:sz w:val="22"/>
        </w:rPr>
        <w:t xml:space="preserve">Heading into Q2 2026, Amphenol faces a high but achievable bar: management guided Q2 revenue to $8.1–$8.2B (43–45% YoY growth) and adjusted EPS to $1.14–$1.16 (41–43% YoY growth), both of which were well above Street consensus at the time of the Q1 print. Consensus has since moved up to ~$8.30B revenue and ~$1.18 adjusted EPS, sitting modestly above the guidance midpoint — implying the Street expects another beat. </w:t>
      </w:r>
      <w:r>
        <w:rPr>
          <w:rFonts w:ascii="Calibri" w:hAnsi="Calibri"/>
          <w:b/>
          <w:color w:val="525866"/>
          <w:sz w:val="22"/>
        </w:rPr>
        <w:t>Management tone on the Q1 call was emphatic and confident</w:t>
      </w:r>
      <w:r>
        <w:rPr>
          <w:rFonts w:ascii="Calibri" w:hAnsi="Calibri"/>
          <w:color w:val="525866"/>
          <w:sz w:val="22"/>
        </w:rPr>
        <w:t xml:space="preserve">: record orders of $9.4B, a book-to-bill of 1.24:1 across all end markets, and IT datacom organic growth of 81% YoY and 16% sequentially (vs. low-double-digit guidance) set a high standard. Estimate revisions have been consistently upward since the Q1 print, with Q2 revenue consensus rising from $8.22B to $8.30B and Q2 adjusted EPS from $1.165 to $1.183 over the past 13 weeks — a steady grind higher that reflects broad-based confidence in AI infrastructure demand. The stock, however, has given back significant ground from its June 30 peak of $176.32, trading at ~$143.85 as of July 28 — a decline of ~18% from peak — driven almost entirely by </w:t>
      </w:r>
      <w:r>
        <w:rPr>
          <w:rFonts w:ascii="Calibri" w:hAnsi="Calibri"/>
          <w:b/>
          <w:color w:val="525866"/>
          <w:sz w:val="22"/>
        </w:rPr>
        <w:t>multiple compression</w:t>
      </w:r>
      <w:r>
        <w:rPr>
          <w:rFonts w:ascii="Calibri" w:hAnsi="Calibri"/>
          <w:color w:val="525866"/>
          <w:sz w:val="22"/>
        </w:rPr>
        <w:t xml:space="preserve"> (NTM P/E contracted from ~32x to ~28x over the past month) rather than estimate cuts. The primary wildcard is </w:t>
      </w:r>
      <w:r>
        <w:rPr>
          <w:rFonts w:ascii="Calibri" w:hAnsi="Calibri"/>
          <w:b/>
          <w:color w:val="525866"/>
          <w:sz w:val="22"/>
        </w:rPr>
        <w:t>Corning’s Q2 2026 earnings released today (July 28)</w:t>
      </w:r>
      <w:r>
        <w:rPr>
          <w:rFonts w:ascii="Calibri" w:hAnsi="Calibri"/>
          <w:color w:val="525866"/>
          <w:sz w:val="22"/>
        </w:rPr>
        <w:t>: GLW fell ~19% on Q3 guidance that came in slightly below expectations despite a solid Q2 print, raising questions about whether AI optical/fiber demand is peaking or simply lumpy — a read-through that could weigh on APH sentiment even though APH’s interconnect exposure is broader and more diversified than GLW’s optical-heavy mix.</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modestly above the guidance midpoint on both revenue and adjusted EPS, implying the Street expects a beat. </w:t>
      </w:r>
      <w:r>
        <w:rPr>
          <w:rFonts w:ascii="Calibri" w:hAnsi="Calibri"/>
          <w:color w:val="525866"/>
          <w:sz w:val="22"/>
        </w:rPr>
        <w:t>IT datacom revenue is the bigger swing factor — the segment has beaten management’s own sequential guidance by a wide margin for multiple consecutive quarters, and any deceleration from the guided “low-teens” sequential increase would likely disappoint.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$7.620B</w:t>
            </w:r>
          </w:p>
        </w:tc>
        <w:tc>
          <w:tcPr>
            <w:tcW w:type="dxa" w:w="1234"/>
          </w:tcPr>
          <w:p>
            <w:r>
              <w:rPr>
                <w:rFonts w:ascii="Calibri" w:hAnsi="Calibri"/>
                <w:sz w:val="22"/>
              </w:rPr>
              <w:t>$5.650B</w:t>
            </w:r>
          </w:p>
        </w:tc>
        <w:tc>
          <w:tcPr>
            <w:tcW w:type="dxa" w:w="1234"/>
          </w:tcPr>
          <w:p>
            <w:r>
              <w:rPr>
                <w:rFonts w:ascii="Calibri" w:hAnsi="Calibri"/>
                <w:sz w:val="22"/>
              </w:rPr>
              <w:t>$8.292B</w:t>
            </w:r>
          </w:p>
        </w:tc>
        <w:tc>
          <w:tcPr>
            <w:tcW w:type="dxa" w:w="1234"/>
          </w:tcPr>
          <w:p>
            <w:r>
              <w:rPr>
                <w:rFonts w:ascii="Calibri" w:hAnsi="Calibri"/>
                <w:sz w:val="22"/>
              </w:rPr>
              <w:t>+46.8% YoY</w:t>
            </w:r>
          </w:p>
        </w:tc>
        <w:tc>
          <w:tcPr>
            <w:tcW w:type="dxa" w:w="1234"/>
          </w:tcPr>
          <w:p>
            <w:r>
              <w:rPr>
                <w:rFonts w:ascii="Calibri" w:hAnsi="Calibri"/>
                <w:sz w:val="22"/>
              </w:rPr>
              <w:t>$8.1–$8.2B (mid: $8.15B)</w:t>
            </w:r>
          </w:p>
        </w:tc>
        <w:tc>
          <w:tcPr>
            <w:tcW w:type="dxa" w:w="1234"/>
          </w:tcPr>
          <w:p>
            <w:r>
              <w:rPr>
                <w:rFonts w:ascii="Calibri" w:hAnsi="Calibri"/>
                <w:sz w:val="22"/>
              </w:rPr>
              <w:t>+1.7% above mid</w:t>
            </w:r>
          </w:p>
        </w:tc>
      </w:tr>
      <w:tr>
        <w:tc>
          <w:tcPr>
            <w:tcW w:type="dxa" w:w="1234"/>
          </w:tcPr>
          <w:p>
            <w:r>
              <w:rPr>
                <w:rFonts w:ascii="Calibri" w:hAnsi="Calibri"/>
                <w:sz w:val="22"/>
              </w:rPr>
              <w:t>Adj. Diluted EPS ($)</w:t>
            </w:r>
          </w:p>
        </w:tc>
        <w:tc>
          <w:tcPr>
            <w:tcW w:type="dxa" w:w="1234"/>
          </w:tcPr>
          <w:p>
            <w:r>
              <w:rPr>
                <w:rFonts w:ascii="Calibri" w:hAnsi="Calibri"/>
                <w:sz w:val="22"/>
              </w:rPr>
              <w:t>$1.060</w:t>
            </w:r>
          </w:p>
        </w:tc>
        <w:tc>
          <w:tcPr>
            <w:tcW w:type="dxa" w:w="1234"/>
          </w:tcPr>
          <w:p>
            <w:r>
              <w:rPr>
                <w:rFonts w:ascii="Calibri" w:hAnsi="Calibri"/>
                <w:sz w:val="22"/>
              </w:rPr>
              <w:t>$0.810</w:t>
            </w:r>
          </w:p>
        </w:tc>
        <w:tc>
          <w:tcPr>
            <w:tcW w:type="dxa" w:w="1234"/>
          </w:tcPr>
          <w:p>
            <w:r>
              <w:rPr>
                <w:rFonts w:ascii="Calibri" w:hAnsi="Calibri"/>
                <w:sz w:val="22"/>
              </w:rPr>
              <w:t>$1.183</w:t>
            </w:r>
          </w:p>
        </w:tc>
        <w:tc>
          <w:tcPr>
            <w:tcW w:type="dxa" w:w="1234"/>
          </w:tcPr>
          <w:p>
            <w:r>
              <w:rPr>
                <w:rFonts w:ascii="Calibri" w:hAnsi="Calibri"/>
                <w:sz w:val="22"/>
              </w:rPr>
              <w:t>+46.1% YoY</w:t>
            </w:r>
          </w:p>
        </w:tc>
        <w:tc>
          <w:tcPr>
            <w:tcW w:type="dxa" w:w="1234"/>
          </w:tcPr>
          <w:p>
            <w:r>
              <w:rPr>
                <w:rFonts w:ascii="Calibri" w:hAnsi="Calibri"/>
                <w:sz w:val="22"/>
              </w:rPr>
              <w:t>$1.14–$1.16 (mid: $1.15)</w:t>
            </w:r>
          </w:p>
        </w:tc>
        <w:tc>
          <w:tcPr>
            <w:tcW w:type="dxa" w:w="1234"/>
          </w:tcPr>
          <w:p>
            <w:r>
              <w:rPr>
                <w:rFonts w:ascii="Calibri" w:hAnsi="Calibri"/>
                <w:sz w:val="22"/>
              </w:rPr>
              <w:t>+2.9% above mid</w:t>
            </w:r>
          </w:p>
        </w:tc>
      </w:tr>
      <w:tr>
        <w:tc>
          <w:tcPr>
            <w:tcW w:type="dxa" w:w="1234"/>
          </w:tcPr>
          <w:p>
            <w:r>
              <w:rPr>
                <w:rFonts w:ascii="Calibri" w:hAnsi="Calibri"/>
                <w:sz w:val="22"/>
              </w:rPr>
              <w:t>Adj. Operating Margin (%)</w:t>
            </w:r>
          </w:p>
        </w:tc>
        <w:tc>
          <w:tcPr>
            <w:tcW w:type="dxa" w:w="1234"/>
          </w:tcPr>
          <w:p>
            <w:r>
              <w:rPr>
                <w:rFonts w:ascii="Calibri" w:hAnsi="Calibri"/>
                <w:sz w:val="22"/>
              </w:rPr>
              <w:t>27.3%</w:t>
            </w:r>
          </w:p>
        </w:tc>
        <w:tc>
          <w:tcPr>
            <w:tcW w:type="dxa" w:w="1234"/>
          </w:tcPr>
          <w:p>
            <w:r>
              <w:rPr>
                <w:rFonts w:ascii="Calibri" w:hAnsi="Calibri"/>
                <w:sz w:val="22"/>
              </w:rPr>
              <w:t>25.6%</w:t>
            </w:r>
          </w:p>
        </w:tc>
        <w:tc>
          <w:tcPr>
            <w:tcW w:type="dxa" w:w="1234"/>
          </w:tcPr>
          <w:p>
            <w:r>
              <w:rPr>
                <w:rFonts w:ascii="Calibri" w:hAnsi="Calibri"/>
                <w:sz w:val="22"/>
              </w:rPr>
              <w:t>27.7%</w:t>
            </w:r>
          </w:p>
        </w:tc>
        <w:tc>
          <w:tcPr>
            <w:tcW w:type="dxa" w:w="1234"/>
          </w:tcPr>
          <w:p>
            <w:r>
              <w:rPr>
                <w:rFonts w:ascii="Calibri" w:hAnsi="Calibri"/>
                <w:sz w:val="22"/>
              </w:rPr>
              <w:t>+210 bps YoY</w:t>
            </w:r>
          </w:p>
        </w:tc>
        <w:tc>
          <w:tcPr>
            <w:tcW w:type="dxa" w:w="1234"/>
          </w:tcPr>
          <w:p>
            <w:r>
              <w:rPr>
                <w:rFonts w:ascii="Calibri" w:hAnsi="Calibri"/>
                <w:sz w:val="22"/>
              </w:rPr>
              <w:t>No explicit margin guide; “strong margins going forward”</w:t>
            </w:r>
          </w:p>
        </w:tc>
        <w:tc>
          <w:tcPr>
            <w:tcW w:type="dxa" w:w="1234"/>
          </w:tcPr>
          <w:p>
            <w:r>
              <w:rPr>
                <w:rFonts w:ascii="Calibri" w:hAnsi="Calibri"/>
                <w:sz w:val="22"/>
              </w:rPr>
              <w:t>N/A</w:t>
            </w:r>
          </w:p>
        </w:tc>
      </w:tr>
      <w:tr>
        <w:tc>
          <w:tcPr>
            <w:tcW w:type="dxa" w:w="1234"/>
          </w:tcPr>
          <w:p>
            <w:r>
              <w:rPr>
                <w:rFonts w:ascii="Calibri" w:hAnsi="Calibri"/>
                <w:sz w:val="22"/>
              </w:rPr>
              <w:t>IT &amp; Datacom Revenue ($B)</w:t>
            </w:r>
          </w:p>
        </w:tc>
        <w:tc>
          <w:tcPr>
            <w:tcW w:type="dxa" w:w="1234"/>
          </w:tcPr>
          <w:p>
            <w:r>
              <w:rPr>
                <w:rFonts w:ascii="Calibri" w:hAnsi="Calibri"/>
                <w:sz w:val="22"/>
              </w:rPr>
              <w:t>$3.124B</w:t>
            </w:r>
          </w:p>
        </w:tc>
        <w:tc>
          <w:tcPr>
            <w:tcW w:type="dxa" w:w="1234"/>
          </w:tcPr>
          <w:p>
            <w:r>
              <w:rPr>
                <w:rFonts w:ascii="Calibri" w:hAnsi="Calibri"/>
                <w:sz w:val="22"/>
              </w:rPr>
              <w:t>$2.034B</w:t>
            </w:r>
          </w:p>
        </w:tc>
        <w:tc>
          <w:tcPr>
            <w:tcW w:type="dxa" w:w="1234"/>
          </w:tcPr>
          <w:p>
            <w:r>
              <w:rPr>
                <w:rFonts w:ascii="Calibri" w:hAnsi="Calibri"/>
                <w:sz w:val="22"/>
              </w:rPr>
              <w:t>$3.603B</w:t>
            </w:r>
          </w:p>
        </w:tc>
        <w:tc>
          <w:tcPr>
            <w:tcW w:type="dxa" w:w="1234"/>
          </w:tcPr>
          <w:p>
            <w:r>
              <w:rPr>
                <w:rFonts w:ascii="Calibri" w:hAnsi="Calibri"/>
                <w:sz w:val="22"/>
              </w:rPr>
              <w:t>+77.2% YoY</w:t>
            </w:r>
          </w:p>
        </w:tc>
        <w:tc>
          <w:tcPr>
            <w:tcW w:type="dxa" w:w="1234"/>
          </w:tcPr>
          <w:p>
            <w:r>
              <w:rPr>
                <w:rFonts w:ascii="Calibri" w:hAnsi="Calibri"/>
                <w:sz w:val="22"/>
              </w:rPr>
              <w:t>Low-teens % sequential increase from Q1 (implies ~$3.5–$3.6B)</w:t>
            </w:r>
          </w:p>
        </w:tc>
        <w:tc>
          <w:tcPr>
            <w:tcW w:type="dxa" w:w="1234"/>
          </w:tcPr>
          <w:p>
            <w:r>
              <w:rPr>
                <w:rFonts w:ascii="Calibri" w:hAnsi="Calibri"/>
                <w:sz w:val="22"/>
              </w:rPr>
              <w:t>~+1% above high end of implied range</w:t>
            </w:r>
          </w:p>
        </w:tc>
      </w:tr>
      <w:tr>
        <w:tc>
          <w:tcPr>
            <w:tcW w:type="dxa" w:w="1234"/>
          </w:tcPr>
          <w:p>
            <w:r>
              <w:rPr>
                <w:rFonts w:ascii="Calibri" w:hAnsi="Calibri"/>
                <w:sz w:val="22"/>
              </w:rPr>
              <w:t>Book-to-Bill Ratio (x)</w:t>
            </w:r>
          </w:p>
        </w:tc>
        <w:tc>
          <w:tcPr>
            <w:tcW w:type="dxa" w:w="1234"/>
          </w:tcPr>
          <w:p>
            <w:r>
              <w:rPr>
                <w:rFonts w:ascii="Calibri" w:hAnsi="Calibri"/>
                <w:sz w:val="22"/>
              </w:rPr>
              <w:t>1.24x</w:t>
            </w:r>
          </w:p>
        </w:tc>
        <w:tc>
          <w:tcPr>
            <w:tcW w:type="dxa" w:w="1234"/>
          </w:tcPr>
          <w:p>
            <w:r>
              <w:rPr>
                <w:rFonts w:ascii="Calibri" w:hAnsi="Calibri"/>
                <w:sz w:val="22"/>
              </w:rPr>
              <w:t>0.98x</w:t>
            </w:r>
          </w:p>
        </w:tc>
        <w:tc>
          <w:tcPr>
            <w:tcW w:type="dxa" w:w="1234"/>
          </w:tcPr>
          <w:p>
            <w:r>
              <w:rPr>
                <w:rFonts w:ascii="Calibri" w:hAnsi="Calibri"/>
                <w:sz w:val="22"/>
              </w:rPr>
              <w:t>1.15x (consensus)</w:t>
            </w:r>
          </w:p>
        </w:tc>
        <w:tc>
          <w:tcPr>
            <w:tcW w:type="dxa" w:w="1234"/>
          </w:tcPr>
          <w:p>
            <w:r>
              <w:rPr>
                <w:rFonts w:ascii="Calibri" w:hAnsi="Calibri"/>
                <w:sz w:val="22"/>
              </w:rPr>
              <w:t>N/A (ratio)</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Orders ($B)</w:t>
            </w:r>
          </w:p>
        </w:tc>
        <w:tc>
          <w:tcPr>
            <w:tcW w:type="dxa" w:w="1234"/>
          </w:tcPr>
          <w:p>
            <w:r>
              <w:rPr>
                <w:rFonts w:ascii="Calibri" w:hAnsi="Calibri"/>
                <w:sz w:val="22"/>
              </w:rPr>
              <w:t>$9.435B</w:t>
            </w:r>
          </w:p>
        </w:tc>
        <w:tc>
          <w:tcPr>
            <w:tcW w:type="dxa" w:w="1234"/>
          </w:tcPr>
          <w:p>
            <w:r>
              <w:rPr>
                <w:rFonts w:ascii="Calibri" w:hAnsi="Calibri"/>
                <w:sz w:val="22"/>
              </w:rPr>
              <w:t>$5.523B</w:t>
            </w:r>
          </w:p>
        </w:tc>
        <w:tc>
          <w:tcPr>
            <w:tcW w:type="dxa" w:w="1234"/>
          </w:tcPr>
          <w:p>
            <w:r>
              <w:rPr>
                <w:rFonts w:ascii="Calibri" w:hAnsi="Calibri"/>
                <w:sz w:val="22"/>
              </w:rPr>
              <w:t>$9.672B</w:t>
            </w:r>
          </w:p>
        </w:tc>
        <w:tc>
          <w:tcPr>
            <w:tcW w:type="dxa" w:w="1234"/>
          </w:tcPr>
          <w:p>
            <w:r>
              <w:rPr>
                <w:rFonts w:ascii="Calibri" w:hAnsi="Calibri"/>
                <w:sz w:val="22"/>
              </w:rPr>
              <w:t>+75.1% YoY</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APH Q1 2026 Earnings Call Transcript (April 29, 2026). All consensus figures as of July 28, 2026.</w:t>
      </w:r>
    </w:p>
    <w:p>
      <w:pPr>
        <w:pStyle w:val="Heading2"/>
      </w:pPr>
      <w:r>
        <w:rPr>
          <w:rFonts w:ascii="Calibri" w:hAnsi="Calibri"/>
          <w:b/>
          <w:color w:val="3B4259"/>
          <w:sz w:val="28"/>
        </w:rPr>
        <w:t>Table 2 — Beat/Miss History (Last 8 Quarters) — Top 2 KPIs</w:t>
      </w:r>
    </w:p>
    <w:p>
      <w:pPr>
        <w:pStyle w:val="Heading3"/>
      </w:pPr>
      <w:r>
        <w:rPr>
          <w:rFonts w:ascii="Calibri" w:hAnsi="Calibri"/>
          <w:b/>
          <w:color w:val="3B4259"/>
          <w:sz w:val="24"/>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$7.621B</w:t>
            </w:r>
          </w:p>
        </w:tc>
        <w:tc>
          <w:tcPr>
            <w:tcW w:type="dxa" w:w="1728"/>
          </w:tcPr>
          <w:p>
            <w:r>
              <w:rPr>
                <w:rFonts w:ascii="Calibri" w:hAnsi="Calibri"/>
                <w:sz w:val="22"/>
              </w:rPr>
              <w:t>$7.121B</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$6.439B</w:t>
            </w:r>
          </w:p>
        </w:tc>
        <w:tc>
          <w:tcPr>
            <w:tcW w:type="dxa" w:w="1728"/>
          </w:tcPr>
          <w:p>
            <w:r>
              <w:rPr>
                <w:rFonts w:ascii="Calibri" w:hAnsi="Calibri"/>
                <w:sz w:val="22"/>
              </w:rPr>
              <w:t>$6.234B</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$6.194B</w:t>
            </w:r>
          </w:p>
        </w:tc>
        <w:tc>
          <w:tcPr>
            <w:tcW w:type="dxa" w:w="1728"/>
          </w:tcPr>
          <w:p>
            <w:r>
              <w:rPr>
                <w:rFonts w:ascii="Calibri" w:hAnsi="Calibri"/>
                <w:sz w:val="22"/>
              </w:rPr>
              <w:t>$5.585B</w:t>
            </w:r>
          </w:p>
        </w:tc>
        <w:tc>
          <w:tcPr>
            <w:tcW w:type="dxa" w:w="1728"/>
          </w:tcPr>
          <w:p>
            <w:r>
              <w:rPr>
                <w:rFonts w:ascii="Calibri" w:hAnsi="Calibri"/>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$5.650B</w:t>
            </w:r>
          </w:p>
        </w:tc>
        <w:tc>
          <w:tcPr>
            <w:tcW w:type="dxa" w:w="1728"/>
          </w:tcPr>
          <w:p>
            <w:r>
              <w:rPr>
                <w:rFonts w:ascii="Calibri" w:hAnsi="Calibri"/>
                <w:sz w:val="22"/>
              </w:rPr>
              <w:t>$5.050B</w:t>
            </w:r>
          </w:p>
        </w:tc>
        <w:tc>
          <w:tcPr>
            <w:tcW w:type="dxa" w:w="1728"/>
          </w:tcPr>
          <w:p>
            <w:r>
              <w:rPr>
                <w:rFonts w:ascii="Calibri" w:hAnsi="Calibri"/>
                <w:sz w:val="22"/>
              </w:rPr>
              <w:t>+11.9%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$4.811B</w:t>
            </w:r>
          </w:p>
        </w:tc>
        <w:tc>
          <w:tcPr>
            <w:tcW w:type="dxa" w:w="1728"/>
          </w:tcPr>
          <w:p>
            <w:r>
              <w:rPr>
                <w:rFonts w:ascii="Calibri" w:hAnsi="Calibri"/>
                <w:sz w:val="22"/>
              </w:rPr>
              <w:t>$4.288B</w:t>
            </w:r>
          </w:p>
        </w:tc>
        <w:tc>
          <w:tcPr>
            <w:tcW w:type="dxa" w:w="1728"/>
          </w:tcPr>
          <w:p>
            <w:r>
              <w:rPr>
                <w:rFonts w:ascii="Calibri" w:hAnsi="Calibri"/>
                <w:sz w:val="22"/>
              </w:rPr>
              <w:t>+12.2%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$4.318B</w:t>
            </w:r>
          </w:p>
        </w:tc>
        <w:tc>
          <w:tcPr>
            <w:tcW w:type="dxa" w:w="1728"/>
          </w:tcPr>
          <w:p>
            <w:r>
              <w:rPr>
                <w:rFonts w:ascii="Calibri" w:hAnsi="Calibri"/>
                <w:sz w:val="22"/>
              </w:rPr>
              <w:t>$4.083B</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$4.039B</w:t>
            </w:r>
          </w:p>
        </w:tc>
        <w:tc>
          <w:tcPr>
            <w:tcW w:type="dxa" w:w="1728"/>
          </w:tcPr>
          <w:p>
            <w:r>
              <w:rPr>
                <w:rFonts w:ascii="Calibri" w:hAnsi="Calibri"/>
                <w:sz w:val="22"/>
              </w:rPr>
              <w:t>$3.809B</w:t>
            </w:r>
          </w:p>
        </w:tc>
        <w:tc>
          <w:tcPr>
            <w:tcW w:type="dxa" w:w="1728"/>
          </w:tcPr>
          <w:p>
            <w:r>
              <w:rPr>
                <w:rFonts w:ascii="Calibri" w:hAnsi="Calibri"/>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pre-VA coverage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$1.060</w:t>
            </w:r>
          </w:p>
        </w:tc>
        <w:tc>
          <w:tcPr>
            <w:tcW w:type="dxa" w:w="1728"/>
          </w:tcPr>
          <w:p>
            <w:r>
              <w:rPr>
                <w:rFonts w:ascii="Calibri" w:hAnsi="Calibri"/>
                <w:sz w:val="22"/>
              </w:rPr>
              <w:t>$0.949</w:t>
            </w:r>
          </w:p>
        </w:tc>
        <w:tc>
          <w:tcPr>
            <w:tcW w:type="dxa" w:w="1728"/>
          </w:tcPr>
          <w:p>
            <w:r>
              <w:rPr>
                <w:rFonts w:ascii="Calibri" w:hAnsi="Calibri"/>
                <w:sz w:val="22"/>
              </w:rPr>
              <w:t>+11.7%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$0.970</w:t>
            </w:r>
          </w:p>
        </w:tc>
        <w:tc>
          <w:tcPr>
            <w:tcW w:type="dxa" w:w="1728"/>
          </w:tcPr>
          <w:p>
            <w:r>
              <w:rPr>
                <w:rFonts w:ascii="Calibri" w:hAnsi="Calibri"/>
                <w:sz w:val="22"/>
              </w:rPr>
              <w:t>$0.941</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$0.927</w:t>
            </w:r>
          </w:p>
        </w:tc>
        <w:tc>
          <w:tcPr>
            <w:tcW w:type="dxa" w:w="1728"/>
          </w:tcPr>
          <w:p>
            <w:r>
              <w:rPr>
                <w:rFonts w:ascii="Calibri" w:hAnsi="Calibri"/>
                <w:sz w:val="22"/>
              </w:rPr>
              <w:t>$0.804</w:t>
            </w:r>
          </w:p>
        </w:tc>
        <w:tc>
          <w:tcPr>
            <w:tcW w:type="dxa" w:w="1728"/>
          </w:tcPr>
          <w:p>
            <w:r>
              <w:rPr>
                <w:rFonts w:ascii="Calibri" w:hAnsi="Calibri"/>
                <w:sz w:val="22"/>
              </w:rPr>
              <w:t>+15.3%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$0.810</w:t>
            </w:r>
          </w:p>
        </w:tc>
        <w:tc>
          <w:tcPr>
            <w:tcW w:type="dxa" w:w="1728"/>
          </w:tcPr>
          <w:p>
            <w:r>
              <w:rPr>
                <w:rFonts w:ascii="Calibri" w:hAnsi="Calibri"/>
                <w:sz w:val="22"/>
              </w:rPr>
              <w:t>$0.668</w:t>
            </w:r>
          </w:p>
        </w:tc>
        <w:tc>
          <w:tcPr>
            <w:tcW w:type="dxa" w:w="1728"/>
          </w:tcPr>
          <w:p>
            <w:r>
              <w:rPr>
                <w:rFonts w:ascii="Calibri" w:hAnsi="Calibri"/>
                <w:sz w:val="22"/>
              </w:rPr>
              <w:t>+21.3%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$0.630</w:t>
            </w:r>
          </w:p>
        </w:tc>
        <w:tc>
          <w:tcPr>
            <w:tcW w:type="dxa" w:w="1728"/>
          </w:tcPr>
          <w:p>
            <w:r>
              <w:rPr>
                <w:rFonts w:ascii="Calibri" w:hAnsi="Calibri"/>
                <w:sz w:val="22"/>
              </w:rPr>
              <w:t>$0.524</w:t>
            </w:r>
          </w:p>
        </w:tc>
        <w:tc>
          <w:tcPr>
            <w:tcW w:type="dxa" w:w="1728"/>
          </w:tcPr>
          <w:p>
            <w:r>
              <w:rPr>
                <w:rFonts w:ascii="Calibri" w:hAnsi="Calibri"/>
                <w:sz w:val="22"/>
              </w:rPr>
              <w:t>+20.2%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$0.550</w:t>
            </w:r>
          </w:p>
        </w:tc>
        <w:tc>
          <w:tcPr>
            <w:tcW w:type="dxa" w:w="1728"/>
          </w:tcPr>
          <w:p>
            <w:r>
              <w:rPr>
                <w:rFonts w:ascii="Calibri" w:hAnsi="Calibri"/>
                <w:sz w:val="22"/>
              </w:rPr>
              <w:t>$0.505</w:t>
            </w:r>
          </w:p>
        </w:tc>
        <w:tc>
          <w:tcPr>
            <w:tcW w:type="dxa" w:w="1728"/>
          </w:tcPr>
          <w:p>
            <w:r>
              <w:rPr>
                <w:rFonts w:ascii="Calibri" w:hAnsi="Calibri"/>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$0.500</w:t>
            </w:r>
          </w:p>
        </w:tc>
        <w:tc>
          <w:tcPr>
            <w:tcW w:type="dxa" w:w="1728"/>
          </w:tcPr>
          <w:p>
            <w:r>
              <w:rPr>
                <w:rFonts w:ascii="Calibri" w:hAnsi="Calibri"/>
                <w:sz w:val="22"/>
              </w:rPr>
              <w:t>$0.452</w:t>
            </w:r>
          </w:p>
        </w:tc>
        <w:tc>
          <w:tcPr>
            <w:tcW w:type="dxa" w:w="1728"/>
          </w:tcPr>
          <w:p>
            <w:r>
              <w:rPr>
                <w:rFonts w:ascii="Calibri" w:hAnsi="Calibri"/>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pre-VA coverage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APH has beaten consensus on both revenue and adjusted EPS in every quarter with available data — 7 consecutive beats — with revenue surprise averaging ~8% and EPS surprise averaging ~13%. The magnitude of beats has been accelerating as AI-driven IT datacom demand has consistently exceeded both management guidance and Street estimates. The bar for Q2 2026 is higher than any prior quarter given the elevated consensus, but the pattern of consistent outperformance is a meaningful tailwind.</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April 29 Q1 2026 earnings call. The only post-earnings corporate action was a euro-denominated senior notes offering in May 2026 to refinance commercial paper and term loan borrowings — a balance sheet management action with no guidance implications. Management tone on the Q1 call was the most confident in recent memory.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$8.1–$8.2B</w:t>
            </w:r>
          </w:p>
        </w:tc>
        <w:tc>
          <w:tcPr>
            <w:tcW w:type="dxa" w:w="1728"/>
          </w:tcPr>
          <w:p>
            <w:r>
              <w:rPr>
                <w:rFonts w:ascii="Calibri" w:hAnsi="Calibri"/>
                <w:sz w:val="22"/>
              </w:rPr>
              <w:t>—</w:t>
            </w:r>
          </w:p>
        </w:tc>
        <w:tc>
          <w:tcPr>
            <w:tcW w:type="dxa" w:w="1728"/>
          </w:tcPr>
          <w:p>
            <w:r>
              <w:rPr>
                <w:rFonts w:ascii="Calibri" w:hAnsi="Calibri"/>
                <w:sz w:val="22"/>
              </w:rPr>
              <w:t>$8.292B</w:t>
            </w:r>
          </w:p>
        </w:tc>
        <w:tc>
          <w:tcPr>
            <w:tcW w:type="dxa" w:w="1728"/>
          </w:tcPr>
          <w:p>
            <w:r>
              <w:rPr>
                <w:rFonts w:ascii="Calibri" w:hAnsi="Calibri"/>
                <w:sz w:val="22"/>
              </w:rPr>
              <w:t>No post-earnings revision. Consensus sits ~1.7% above guidance midpoint.</w:t>
            </w:r>
          </w:p>
        </w:tc>
      </w:tr>
      <w:tr>
        <w:tc>
          <w:tcPr>
            <w:tcW w:type="dxa" w:w="1728"/>
          </w:tcPr>
          <w:p>
            <w:r>
              <w:rPr>
                <w:rFonts w:ascii="Calibri" w:hAnsi="Calibri"/>
                <w:sz w:val="22"/>
              </w:rPr>
              <w:t>Q2 2026 Adj. Diluted EPS</w:t>
            </w:r>
          </w:p>
        </w:tc>
        <w:tc>
          <w:tcPr>
            <w:tcW w:type="dxa" w:w="1728"/>
          </w:tcPr>
          <w:p>
            <w:r>
              <w:rPr>
                <w:rFonts w:ascii="Calibri" w:hAnsi="Calibri"/>
                <w:sz w:val="22"/>
              </w:rPr>
              <w:t>$1.14–$1.16</w:t>
            </w:r>
          </w:p>
        </w:tc>
        <w:tc>
          <w:tcPr>
            <w:tcW w:type="dxa" w:w="1728"/>
          </w:tcPr>
          <w:p>
            <w:r>
              <w:rPr>
                <w:rFonts w:ascii="Calibri" w:hAnsi="Calibri"/>
                <w:sz w:val="22"/>
              </w:rPr>
              <w:t>—</w:t>
            </w:r>
          </w:p>
        </w:tc>
        <w:tc>
          <w:tcPr>
            <w:tcW w:type="dxa" w:w="1728"/>
          </w:tcPr>
          <w:p>
            <w:r>
              <w:rPr>
                <w:rFonts w:ascii="Calibri" w:hAnsi="Calibri"/>
                <w:sz w:val="22"/>
              </w:rPr>
              <w:t>$1.183</w:t>
            </w:r>
          </w:p>
        </w:tc>
        <w:tc>
          <w:tcPr>
            <w:tcW w:type="dxa" w:w="1728"/>
          </w:tcPr>
          <w:p>
            <w:r>
              <w:rPr>
                <w:rFonts w:ascii="Calibri" w:hAnsi="Calibri"/>
                <w:sz w:val="22"/>
              </w:rPr>
              <w:t>No post-earnings revision. Consensus sits ~2.9% above guidance midpoint.</w:t>
            </w:r>
          </w:p>
        </w:tc>
      </w:tr>
      <w:tr>
        <w:tc>
          <w:tcPr>
            <w:tcW w:type="dxa" w:w="1728"/>
          </w:tcPr>
          <w:p>
            <w:r>
              <w:rPr>
                <w:rFonts w:ascii="Calibri" w:hAnsi="Calibri"/>
                <w:sz w:val="22"/>
              </w:rPr>
              <w:t>Q2 2026 YoY Sales Growth</w:t>
            </w:r>
          </w:p>
        </w:tc>
        <w:tc>
          <w:tcPr>
            <w:tcW w:type="dxa" w:w="1728"/>
          </w:tcPr>
          <w:p>
            <w:r>
              <w:rPr>
                <w:rFonts w:ascii="Calibri" w:hAnsi="Calibri"/>
                <w:sz w:val="22"/>
              </w:rPr>
              <w:t>43–45%</w:t>
            </w:r>
          </w:p>
        </w:tc>
        <w:tc>
          <w:tcPr>
            <w:tcW w:type="dxa" w:w="1728"/>
          </w:tcPr>
          <w:p>
            <w:r>
              <w:rPr>
                <w:rFonts w:ascii="Calibri" w:hAnsi="Calibri"/>
                <w:sz w:val="22"/>
              </w:rPr>
              <w:t>—</w:t>
            </w:r>
          </w:p>
        </w:tc>
        <w:tc>
          <w:tcPr>
            <w:tcW w:type="dxa" w:w="1728"/>
          </w:tcPr>
          <w:p>
            <w:r>
              <w:rPr>
                <w:rFonts w:ascii="Calibri" w:hAnsi="Calibri"/>
                <w:sz w:val="22"/>
              </w:rPr>
              <w:t>~46.8% (implied by consensus)</w:t>
            </w:r>
          </w:p>
        </w:tc>
        <w:tc>
          <w:tcPr>
            <w:tcW w:type="dxa" w:w="1728"/>
          </w:tcPr>
          <w:p>
            <w:r>
              <w:rPr>
                <w:rFonts w:ascii="Calibri" w:hAnsi="Calibri"/>
                <w:sz w:val="22"/>
              </w:rPr>
              <w:t>No revision. Street modeling above guidance range.</w:t>
            </w:r>
          </w:p>
        </w:tc>
      </w:tr>
      <w:tr>
        <w:tc>
          <w:tcPr>
            <w:tcW w:type="dxa" w:w="1728"/>
          </w:tcPr>
          <w:p>
            <w:r>
              <w:rPr>
                <w:rFonts w:ascii="Calibri" w:hAnsi="Calibri"/>
                <w:sz w:val="22"/>
              </w:rPr>
              <w:t>Q2 2026 YoY EPS Growth</w:t>
            </w:r>
          </w:p>
        </w:tc>
        <w:tc>
          <w:tcPr>
            <w:tcW w:type="dxa" w:w="1728"/>
          </w:tcPr>
          <w:p>
            <w:r>
              <w:rPr>
                <w:rFonts w:ascii="Calibri" w:hAnsi="Calibri"/>
                <w:sz w:val="22"/>
              </w:rPr>
              <w:t>41–43%</w:t>
            </w:r>
          </w:p>
        </w:tc>
        <w:tc>
          <w:tcPr>
            <w:tcW w:type="dxa" w:w="1728"/>
          </w:tcPr>
          <w:p>
            <w:r>
              <w:rPr>
                <w:rFonts w:ascii="Calibri" w:hAnsi="Calibri"/>
                <w:sz w:val="22"/>
              </w:rPr>
              <w:t>—</w:t>
            </w:r>
          </w:p>
        </w:tc>
        <w:tc>
          <w:tcPr>
            <w:tcW w:type="dxa" w:w="1728"/>
          </w:tcPr>
          <w:p>
            <w:r>
              <w:rPr>
                <w:rFonts w:ascii="Calibri" w:hAnsi="Calibri"/>
                <w:sz w:val="22"/>
              </w:rPr>
              <w:t>~46.1% (implied by consensus)</w:t>
            </w:r>
          </w:p>
        </w:tc>
        <w:tc>
          <w:tcPr>
            <w:tcW w:type="dxa" w:w="1728"/>
          </w:tcPr>
          <w:p>
            <w:r>
              <w:rPr>
                <w:rFonts w:ascii="Calibri" w:hAnsi="Calibri"/>
                <w:sz w:val="22"/>
              </w:rPr>
              <w:t>No revision. Street modeling above guidance range.</w:t>
            </w:r>
          </w:p>
        </w:tc>
      </w:tr>
      <w:tr>
        <w:tc>
          <w:tcPr>
            <w:tcW w:type="dxa" w:w="1728"/>
          </w:tcPr>
          <w:p>
            <w:r>
              <w:rPr>
                <w:rFonts w:ascii="Calibri" w:hAnsi="Calibri"/>
                <w:sz w:val="22"/>
              </w:rPr>
              <w:t>IT Datacom Q2 Sequential Growth</w:t>
            </w:r>
          </w:p>
        </w:tc>
        <w:tc>
          <w:tcPr>
            <w:tcW w:type="dxa" w:w="1728"/>
          </w:tcPr>
          <w:p>
            <w:r>
              <w:rPr>
                <w:rFonts w:ascii="Calibri" w:hAnsi="Calibri"/>
                <w:sz w:val="22"/>
              </w:rPr>
              <w:t>“Low-teens” sequential increase</w:t>
            </w:r>
          </w:p>
        </w:tc>
        <w:tc>
          <w:tcPr>
            <w:tcW w:type="dxa" w:w="1728"/>
          </w:tcPr>
          <w:p>
            <w:r>
              <w:rPr>
                <w:rFonts w:ascii="Calibri" w:hAnsi="Calibri"/>
                <w:sz w:val="22"/>
              </w:rPr>
              <w:t>—</w:t>
            </w:r>
          </w:p>
        </w:tc>
        <w:tc>
          <w:tcPr>
            <w:tcW w:type="dxa" w:w="1728"/>
          </w:tcPr>
          <w:p>
            <w:r>
              <w:rPr>
                <w:rFonts w:ascii="Calibri" w:hAnsi="Calibri"/>
                <w:sz w:val="22"/>
              </w:rPr>
              <w:t>~+15% sequential (implied by $3.60B consensus vs. $3.12B Q1 actual)</w:t>
            </w:r>
          </w:p>
        </w:tc>
        <w:tc>
          <w:tcPr>
            <w:tcW w:type="dxa" w:w="1728"/>
          </w:tcPr>
          <w:p>
            <w:r>
              <w:rPr>
                <w:rFonts w:ascii="Calibri" w:hAnsi="Calibri"/>
                <w:sz w:val="22"/>
              </w:rPr>
              <w:t>Street modeling slightly above the “low-teens” guidance, consistent with APH’s history of beating its own IT datacom guidance.</w:t>
            </w:r>
          </w:p>
        </w:tc>
      </w:tr>
      <w:tr>
        <w:tc>
          <w:tcPr>
            <w:tcW w:type="dxa" w:w="1728"/>
          </w:tcPr>
          <w:p>
            <w:r>
              <w:rPr>
                <w:rFonts w:ascii="Calibri" w:hAnsi="Calibri"/>
                <w:sz w:val="22"/>
              </w:rPr>
              <w:t>Adj. Operating Margin</w:t>
            </w:r>
          </w:p>
        </w:tc>
        <w:tc>
          <w:tcPr>
            <w:tcW w:type="dxa" w:w="1728"/>
          </w:tcPr>
          <w:p>
            <w:r>
              <w:rPr>
                <w:rFonts w:ascii="Calibri" w:hAnsi="Calibri"/>
                <w:sz w:val="22"/>
              </w:rPr>
              <w:t>“Strong margins going forward” (no explicit %)</w:t>
            </w:r>
          </w:p>
        </w:tc>
        <w:tc>
          <w:tcPr>
            <w:tcW w:type="dxa" w:w="1728"/>
          </w:tcPr>
          <w:p>
            <w:r>
              <w:rPr>
                <w:rFonts w:ascii="Calibri" w:hAnsi="Calibri"/>
                <w:sz w:val="22"/>
              </w:rPr>
              <w:t>—</w:t>
            </w:r>
          </w:p>
        </w:tc>
        <w:tc>
          <w:tcPr>
            <w:tcW w:type="dxa" w:w="1728"/>
          </w:tcPr>
          <w:p>
            <w:r>
              <w:rPr>
                <w:rFonts w:ascii="Calibri" w:hAnsi="Calibri"/>
                <w:sz w:val="22"/>
              </w:rPr>
              <w:t>27.7%</w:t>
            </w:r>
          </w:p>
        </w:tc>
        <w:tc>
          <w:tcPr>
            <w:tcW w:type="dxa" w:w="1728"/>
          </w:tcPr>
          <w:p>
            <w:r>
              <w:rPr>
                <w:rFonts w:ascii="Calibri" w:hAnsi="Calibri"/>
                <w:sz w:val="22"/>
              </w:rPr>
              <w:t>No revision. Street expects modest sequential expansion from Q1’s 27.3%.</w:t>
            </w:r>
          </w:p>
        </w:tc>
      </w:tr>
      <w:tr>
        <w:tc>
          <w:tcPr>
            <w:tcW w:type="dxa" w:w="1728"/>
          </w:tcPr>
          <w:p>
            <w:r>
              <w:rPr>
                <w:rFonts w:ascii="Calibri" w:hAnsi="Calibri"/>
                <w:sz w:val="22"/>
              </w:rPr>
              <w:t>FY 2026 CommScope (CSE) Contribution</w:t>
            </w:r>
          </w:p>
        </w:tc>
        <w:tc>
          <w:tcPr>
            <w:tcW w:type="dxa" w:w="1728"/>
          </w:tcPr>
          <w:p>
            <w:r>
              <w:rPr>
                <w:rFonts w:ascii="Calibri" w:hAnsi="Calibri"/>
                <w:sz w:val="22"/>
              </w:rPr>
              <w:t>~$4.1B revenue; ~$0.15 EPS accretion</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Reiterated on Q1 call. No revision.</w:t>
            </w:r>
          </w:p>
        </w:tc>
      </w:tr>
      <w:tr>
        <w:tc>
          <w:tcPr>
            <w:tcW w:type="dxa" w:w="1728"/>
          </w:tcPr>
          <w:p>
            <w:r>
              <w:rPr>
                <w:rFonts w:ascii="Calibri" w:hAnsi="Calibri"/>
                <w:sz w:val="22"/>
              </w:rPr>
              <w:t>Adj. Effective Tax Rate (FY 2026)</w:t>
            </w:r>
          </w:p>
        </w:tc>
        <w:tc>
          <w:tcPr>
            <w:tcW w:type="dxa" w:w="1728"/>
          </w:tcPr>
          <w:p>
            <w:r>
              <w:rPr>
                <w:rFonts w:ascii="Calibri" w:hAnsi="Calibri"/>
                <w:sz w:val="22"/>
              </w:rPr>
              <w:t>27% (raised from prior level due to China tax matter and income mix shift)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on Q1 call; expected to remain at 27% for remainder of 2026.</w:t>
            </w:r>
          </w:p>
        </w:tc>
      </w:tr>
    </w:tbl>
    <w:p>
      <w:r>
        <w:rPr>
          <w:rFonts w:ascii="Calibri" w:hAnsi="Calibri"/>
          <w:i/>
          <w:color w:val="525866"/>
          <w:sz w:val="22"/>
        </w:rPr>
        <w:t>Source: APH Q1 2026 Earnings Call Transcript (April 29, 2026); APH 8-K (May 12, 2026 — senior notes offering, no guidance revision);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for Q2 2026 and FY 2026 have moved steadily higher since the Q1 print, with revenue and EPS both tracking above the guidance midpoint. </w:t>
      </w:r>
      <w:r>
        <w:rPr>
          <w:rFonts w:ascii="Calibri" w:hAnsi="Calibri"/>
          <w:color w:val="525866"/>
          <w:sz w:val="22"/>
        </w:rPr>
        <w:t>The upward revision trajectory reflects growing Street confidence in AI infrastructure demand durability — the gap between consensus and guidance represents a cushion if execution is clean, but also a higher bar to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6, 2026 (Post-Q1 Baseline)</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$8.223B</w:t>
            </w:r>
          </w:p>
        </w:tc>
        <w:tc>
          <w:tcPr>
            <w:tcW w:type="dxa" w:w="1080"/>
          </w:tcPr>
          <w:p>
            <w:r>
              <w:rPr>
                <w:rFonts w:ascii="Calibri" w:hAnsi="Calibri"/>
                <w:sz w:val="22"/>
              </w:rPr>
              <w:t>$8.292B</w:t>
            </w:r>
          </w:p>
        </w:tc>
        <w:tc>
          <w:tcPr>
            <w:tcW w:type="dxa" w:w="1080"/>
          </w:tcPr>
          <w:p>
            <w:r>
              <w:rPr>
                <w:rFonts w:ascii="Calibri" w:hAnsi="Calibri"/>
                <w:sz w:val="22"/>
              </w:rPr>
              <w:t>+0.8%</w:t>
            </w:r>
          </w:p>
        </w:tc>
        <w:tc>
          <w:tcPr>
            <w:tcW w:type="dxa" w:w="1080"/>
          </w:tcPr>
          <w:p>
            <w:r>
              <w:rPr>
                <w:rFonts w:ascii="Calibri" w:hAnsi="Calibri"/>
                <w:sz w:val="22"/>
              </w:rPr>
              <w:t>$8.1–$8.2B (mid: $8.15B)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above mid</w:t>
            </w:r>
          </w:p>
        </w:tc>
      </w:tr>
      <w:tr>
        <w:tc>
          <w:tcPr>
            <w:tcW w:type="dxa" w:w="1080"/>
          </w:tcPr>
          <w:p>
            <w:r>
              <w:rPr>
                <w:rFonts w:ascii="Calibri" w:hAnsi="Calibri"/>
                <w:sz w:val="22"/>
              </w:rPr>
              <w:t>Net Sales — FY 2026</w:t>
            </w:r>
          </w:p>
        </w:tc>
        <w:tc>
          <w:tcPr>
            <w:tcW w:type="dxa" w:w="1080"/>
          </w:tcPr>
          <w:p>
            <w:r>
              <w:rPr>
                <w:rFonts w:ascii="Calibri" w:hAnsi="Calibri"/>
                <w:sz w:val="22"/>
              </w:rPr>
              <w:t>$33.365B</w:t>
            </w:r>
          </w:p>
        </w:tc>
        <w:tc>
          <w:tcPr>
            <w:tcW w:type="dxa" w:w="1080"/>
          </w:tcPr>
          <w:p>
            <w:r>
              <w:rPr>
                <w:rFonts w:ascii="Calibri" w:hAnsi="Calibri"/>
                <w:sz w:val="22"/>
              </w:rPr>
              <w:t>$33.625B</w:t>
            </w:r>
          </w:p>
        </w:tc>
        <w:tc>
          <w:tcPr>
            <w:tcW w:type="dxa" w:w="1080"/>
          </w:tcPr>
          <w:p>
            <w:r>
              <w:rPr>
                <w:rFonts w:ascii="Calibri" w:hAnsi="Calibri"/>
                <w:sz w:val="22"/>
              </w:rPr>
              <w:t>+0.8%</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$1.165</w:t>
            </w:r>
          </w:p>
        </w:tc>
        <w:tc>
          <w:tcPr>
            <w:tcW w:type="dxa" w:w="1080"/>
          </w:tcPr>
          <w:p>
            <w:r>
              <w:rPr>
                <w:rFonts w:ascii="Calibri" w:hAnsi="Calibri"/>
                <w:sz w:val="22"/>
              </w:rPr>
              <w:t>$1.183</w:t>
            </w:r>
          </w:p>
        </w:tc>
        <w:tc>
          <w:tcPr>
            <w:tcW w:type="dxa" w:w="1080"/>
          </w:tcPr>
          <w:p>
            <w:r>
              <w:rPr>
                <w:rFonts w:ascii="Calibri" w:hAnsi="Calibri"/>
                <w:sz w:val="22"/>
              </w:rPr>
              <w:t>+1.5%</w:t>
            </w:r>
          </w:p>
        </w:tc>
        <w:tc>
          <w:tcPr>
            <w:tcW w:type="dxa" w:w="1080"/>
          </w:tcPr>
          <w:p>
            <w:r>
              <w:rPr>
                <w:rFonts w:ascii="Calibri" w:hAnsi="Calibri"/>
                <w:sz w:val="22"/>
              </w:rPr>
              <w:t>$1.14–$1.16 (mid: $1.15)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+2.9% above mid</w:t>
            </w:r>
          </w:p>
        </w:tc>
      </w:tr>
      <w:tr>
        <w:tc>
          <w:tcPr>
            <w:tcW w:type="dxa" w:w="1080"/>
          </w:tcPr>
          <w:p>
            <w:r>
              <w:rPr>
                <w:rFonts w:ascii="Calibri" w:hAnsi="Calibri"/>
                <w:sz w:val="22"/>
              </w:rPr>
              <w:t>Adj. EPS — FY 2026</w:t>
            </w:r>
          </w:p>
        </w:tc>
        <w:tc>
          <w:tcPr>
            <w:tcW w:type="dxa" w:w="1080"/>
          </w:tcPr>
          <w:p>
            <w:r>
              <w:rPr>
                <w:rFonts w:ascii="Calibri" w:hAnsi="Calibri"/>
                <w:sz w:val="22"/>
              </w:rPr>
              <w:t>$4.780</w:t>
            </w:r>
          </w:p>
        </w:tc>
        <w:tc>
          <w:tcPr>
            <w:tcW w:type="dxa" w:w="1080"/>
          </w:tcPr>
          <w:p>
            <w:r>
              <w:rPr>
                <w:rFonts w:ascii="Calibri" w:hAnsi="Calibri"/>
                <w:sz w:val="22"/>
              </w:rPr>
              <w:t>$4.845</w:t>
            </w:r>
          </w:p>
        </w:tc>
        <w:tc>
          <w:tcPr>
            <w:tcW w:type="dxa" w:w="1080"/>
          </w:tcPr>
          <w:p>
            <w:r>
              <w:rPr>
                <w:rFonts w:ascii="Calibri" w:hAnsi="Calibri"/>
                <w:sz w:val="22"/>
              </w:rPr>
              <w:t>+1.4%</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Estimates have moved in a tight, consistent upward channel since the Q1 print — revenue and EPS both up ~0.8–1.5% from the post-earnings baseline. The revision trajectory accelerated in mid-July (week of July 10–17), likely reflecting positive read-throughs from TE Connectivity’s strong FQ3 print (July 22) and Celestica’s blowout Q2 (July 27). The gap between consensus and guidance midpoint is modest but meaningful: it implies the Street is pricing in another beat, consistent with APH’s 7-quarter track record of outperformance.</w:t>
      </w:r>
    </w:p>
    <w:p>
      <w:r>
        <w:rPr>
          <w:rFonts w:ascii="Calibri" w:hAnsi="Calibri"/>
          <w:i/>
          <w:color w:val="525866"/>
          <w:sz w:val="22"/>
        </w:rPr>
        <w:t>Source: Visible Alpha Consensus and Actuals Data (revision history table, weekly frequency, May 1 – July 28, 2026); APH Q1 2026 Earnings Call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b/>
          <w:color w:val="525866"/>
          <w:sz w:val="22"/>
        </w:rPr>
        <w:t xml:space="preserve">APH’s post-Q1 stock performance has been driven almost entirely by multiple compression, not estimate cuts — NTM P/E contracted from ~32x to ~28x over the past month even as estimates moved higher. </w:t>
      </w:r>
      <w:r>
        <w:rPr>
          <w:rFonts w:ascii="Calibri" w:hAnsi="Calibri"/>
          <w:color w:val="525866"/>
          <w:sz w:val="22"/>
        </w:rPr>
        <w:t>The stock’s sharp pullback from its June 30 peak ($176.32) to ~$143.85 today represents a sentiment reset, not a fundamental deterioration, and may create an attractive entry point if Q2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APH vs. XLI vs. S&amp;P 500 — Indexed to 100 at April 28, 2026 (day before Q1 2026 earnings). Source: Yahoo Finance / Stock Price Data.</w:t>
      </w:r>
    </w:p>
    <w:p>
      <w:pPr>
        <w:pStyle w:val="Heading2"/>
      </w:pPr>
      <w:r>
        <w:rPr>
          <w:rFonts w:ascii="Calibri" w:hAnsi="Calibri"/>
          <w:b/>
          <w:color w:val="3B4259"/>
          <w:sz w:val="28"/>
        </w:rPr>
        <w:t>Performance Summary (Since Q1 2026 Earnings, April 29,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Series</w:t>
            </w:r>
          </w:p>
        </w:tc>
        <w:tc>
          <w:tcPr>
            <w:tcW w:type="dxa" w:w="1728"/>
            <w:shd w:val="clear" w:color="auto" w:fill="3B4259"/>
          </w:tcPr>
          <w:p>
            <w:r>
              <w:rPr>
                <w:rFonts w:ascii="Calibri" w:hAnsi="Calibri"/>
                <w:b/>
                <w:color w:val="FFFFFF"/>
                <w:sz w:val="22"/>
              </w:rPr>
              <w:t>Price at Q1 Earnings (Apr 28 Close)</w:t>
            </w:r>
          </w:p>
        </w:tc>
        <w:tc>
          <w:tcPr>
            <w:tcW w:type="dxa" w:w="1728"/>
            <w:shd w:val="clear" w:color="auto" w:fill="3B4259"/>
          </w:tcPr>
          <w:p>
            <w:r>
              <w:rPr>
                <w:rFonts w:ascii="Calibri" w:hAnsi="Calibri"/>
                <w:b/>
                <w:color w:val="FFFFFF"/>
                <w:sz w:val="22"/>
              </w:rPr>
              <w:t>Peak Since Earnings</w:t>
            </w:r>
          </w:p>
        </w:tc>
        <w:tc>
          <w:tcPr>
            <w:tcW w:type="dxa" w:w="1728"/>
            <w:shd w:val="clear" w:color="auto" w:fill="3B4259"/>
          </w:tcPr>
          <w:p>
            <w:r>
              <w:rPr>
                <w:rFonts w:ascii="Calibri" w:hAnsi="Calibri"/>
                <w:b/>
                <w:color w:val="FFFFFF"/>
                <w:sz w:val="22"/>
              </w:rPr>
              <w:t>Price Jul 28, 2026</w:t>
            </w:r>
          </w:p>
        </w:tc>
        <w:tc>
          <w:tcPr>
            <w:tcW w:type="dxa" w:w="1728"/>
            <w:shd w:val="clear" w:color="auto" w:fill="3B4259"/>
          </w:tcPr>
          <w:p>
            <w:r>
              <w:rPr>
                <w:rFonts w:ascii="Calibri" w:hAnsi="Calibri"/>
                <w:b/>
                <w:color w:val="FFFFFF"/>
                <w:sz w:val="22"/>
              </w:rPr>
              <w:t>Return Since Earnings</w:t>
            </w:r>
          </w:p>
        </w:tc>
      </w:tr>
      <w:tr>
        <w:tc>
          <w:tcPr>
            <w:tcW w:type="dxa" w:w="1728"/>
          </w:tcPr>
          <w:p>
            <w:r>
              <w:rPr>
                <w:rFonts w:ascii="Calibri" w:hAnsi="Calibri"/>
                <w:sz w:val="22"/>
              </w:rPr>
              <w:t>APH</w:t>
            </w:r>
          </w:p>
        </w:tc>
        <w:tc>
          <w:tcPr>
            <w:tcW w:type="dxa" w:w="1728"/>
          </w:tcPr>
          <w:p>
            <w:r>
              <w:rPr>
                <w:rFonts w:ascii="Calibri" w:hAnsi="Calibri"/>
                <w:sz w:val="22"/>
              </w:rPr>
              <w:t>$143.72</w:t>
            </w:r>
          </w:p>
        </w:tc>
        <w:tc>
          <w:tcPr>
            <w:tcW w:type="dxa" w:w="1728"/>
          </w:tcPr>
          <w:p>
            <w:r>
              <w:rPr>
                <w:rFonts w:ascii="Calibri" w:hAnsi="Calibri"/>
                <w:sz w:val="22"/>
              </w:rPr>
              <w:t>$176.32 (Jun 30)</w:t>
            </w:r>
          </w:p>
        </w:tc>
        <w:tc>
          <w:tcPr>
            <w:tcW w:type="dxa" w:w="1728"/>
          </w:tcPr>
          <w:p>
            <w:r>
              <w:rPr>
                <w:rFonts w:ascii="Calibri" w:hAnsi="Calibri"/>
                <w:sz w:val="22"/>
              </w:rPr>
              <w:t>$143.85</w:t>
            </w:r>
          </w:p>
        </w:tc>
        <w:tc>
          <w:tcPr>
            <w:tcW w:type="dxa" w:w="1728"/>
          </w:tcPr>
          <w:p>
            <w:r>
              <w:rPr>
                <w:rFonts w:ascii="Calibri" w:hAnsi="Calibri"/>
                <w:sz w:val="22"/>
              </w:rPr>
              <w:t>+0.1%</w:t>
            </w:r>
          </w:p>
        </w:tc>
      </w:tr>
      <w:tr>
        <w:tc>
          <w:tcPr>
            <w:tcW w:type="dxa" w:w="1728"/>
          </w:tcPr>
          <w:p>
            <w:r>
              <w:rPr>
                <w:rFonts w:ascii="Calibri" w:hAnsi="Calibri"/>
                <w:sz w:val="22"/>
              </w:rPr>
              <w:t>XLI (Industrial ETF)</w:t>
            </w:r>
          </w:p>
        </w:tc>
        <w:tc>
          <w:tcPr>
            <w:tcW w:type="dxa" w:w="1728"/>
          </w:tcPr>
          <w:p>
            <w:r>
              <w:rPr>
                <w:rFonts w:ascii="Calibri" w:hAnsi="Calibri"/>
                <w:sz w:val="22"/>
              </w:rPr>
              <w:t>$170.98</w:t>
            </w:r>
          </w:p>
        </w:tc>
        <w:tc>
          <w:tcPr>
            <w:tcW w:type="dxa" w:w="1728"/>
          </w:tcPr>
          <w:p>
            <w:r>
              <w:rPr>
                <w:rFonts w:ascii="Calibri" w:hAnsi="Calibri"/>
                <w:sz w:val="22"/>
              </w:rPr>
              <w:t>~$185.23 (Jun 30)</w:t>
            </w:r>
          </w:p>
        </w:tc>
        <w:tc>
          <w:tcPr>
            <w:tcW w:type="dxa" w:w="1728"/>
          </w:tcPr>
          <w:p>
            <w:r>
              <w:rPr>
                <w:rFonts w:ascii="Calibri" w:hAnsi="Calibri"/>
                <w:sz w:val="22"/>
              </w:rPr>
              <w:t>$182.49</w:t>
            </w:r>
          </w:p>
        </w:tc>
        <w:tc>
          <w:tcPr>
            <w:tcW w:type="dxa" w:w="1728"/>
          </w:tcPr>
          <w:p>
            <w:r>
              <w:rPr>
                <w:rFonts w:ascii="Calibri" w:hAnsi="Calibri"/>
                <w:sz w:val="22"/>
              </w:rPr>
              <w:t>+6.7%</w:t>
            </w:r>
          </w:p>
        </w:tc>
      </w:tr>
      <w:tr>
        <w:tc>
          <w:tcPr>
            <w:tcW w:type="dxa" w:w="1728"/>
          </w:tcPr>
          <w:p>
            <w:r>
              <w:rPr>
                <w:rFonts w:ascii="Calibri" w:hAnsi="Calibri"/>
                <w:sz w:val="22"/>
              </w:rPr>
              <w:t>S&amp;P 500 (SPY)</w:t>
            </w:r>
          </w:p>
        </w:tc>
        <w:tc>
          <w:tcPr>
            <w:tcW w:type="dxa" w:w="1728"/>
          </w:tcPr>
          <w:p>
            <w:r>
              <w:rPr>
                <w:rFonts w:ascii="Calibri" w:hAnsi="Calibri"/>
                <w:sz w:val="22"/>
              </w:rPr>
              <w:t>$711.69</w:t>
            </w:r>
          </w:p>
        </w:tc>
        <w:tc>
          <w:tcPr>
            <w:tcW w:type="dxa" w:w="1728"/>
          </w:tcPr>
          <w:p>
            <w:r>
              <w:rPr>
                <w:rFonts w:ascii="Calibri" w:hAnsi="Calibri"/>
                <w:sz w:val="22"/>
              </w:rPr>
              <w:t>~$756.48 (May 29)</w:t>
            </w:r>
          </w:p>
        </w:tc>
        <w:tc>
          <w:tcPr>
            <w:tcW w:type="dxa" w:w="1728"/>
          </w:tcPr>
          <w:p>
            <w:r>
              <w:rPr>
                <w:rFonts w:ascii="Calibri" w:hAnsi="Calibri"/>
                <w:sz w:val="22"/>
              </w:rPr>
              <w:t>$740.86</w:t>
            </w:r>
          </w:p>
        </w:tc>
        <w:tc>
          <w:tcPr>
            <w:tcW w:type="dxa" w:w="1728"/>
          </w:tcPr>
          <w:p>
            <w:r>
              <w:rPr>
                <w:rFonts w:ascii="Calibri" w:hAnsi="Calibri"/>
                <w:sz w:val="22"/>
              </w:rPr>
              <w:t>+4.1%</w:t>
            </w:r>
          </w:p>
        </w:tc>
      </w:tr>
    </w:tbl>
    <w:p>
      <w:r>
        <w:rPr>
          <w:rFonts w:ascii="Calibri" w:hAnsi="Calibri"/>
          <w:b/>
          <w:color w:val="525866"/>
          <w:sz w:val="22"/>
        </w:rPr>
        <w:t xml:space="preserve">Key Observations: </w:t>
      </w:r>
      <w:r>
        <w:rPr>
          <w:rFonts w:ascii="Calibri" w:hAnsi="Calibri"/>
          <w:color w:val="525866"/>
          <w:sz w:val="22"/>
        </w:rPr>
        <w:t>APH initially surged ~3.2% on the Q1 earnings day (Apr 29) on the strong beat and above-consensus Q2 guidance. The stock then sold off sharply in May (bottoming near $119 on May 19) as the market digested the China tax matter and broader tech/AI sentiment softened. A strong recovery followed through June, with APH reaching $176.32 on June 30 — its highest level since the Q1 print. Since then, the stock has given back ~18% from peak, underperforming both XLI (+6.7%) and SPY (+4.1%) since the Q1 earnings date. The underperformance is driven by multiple compression (NTM P/E from ~32x to ~28x over 1 month) rather than estimate cuts, which have actually moved higher. Today’s GLW selloff (-19%) on slightly disappointing Q3 guidance may add incremental pressure.</w:t>
      </w:r>
    </w:p>
    <w:p>
      <w:r>
        <w:rPr>
          <w:rFonts w:ascii="Calibri" w:hAnsi="Calibri"/>
          <w:b/>
          <w:color w:val="525866"/>
          <w:sz w:val="22"/>
        </w:rPr>
        <w:t xml:space="preserve">Valuation Context: </w:t>
      </w:r>
      <w:r>
        <w:rPr>
          <w:rFonts w:ascii="Calibri" w:hAnsi="Calibri"/>
          <w:color w:val="525866"/>
          <w:sz w:val="22"/>
        </w:rPr>
        <w:t>APH currently trades at ~28x NTM P/E and ~16.6x NTM EV/EBITDA. Over the past 12 months, the stock is still up ~37%, but the multiple has compressed ~15% from where it stood a year ago (NTM P/E was ~32x). The current multiple is below the pre-AI-boom historical range of mid-30s to low-40s, suggesting the market has partially de-risked the AI premium.</w:t>
      </w:r>
    </w:p>
    <w:p>
      <w:r>
        <w:rPr>
          <w:rFonts w:ascii="Calibri" w:hAnsi="Calibri"/>
          <w:i/>
          <w:color w:val="525866"/>
          <w:sz w:val="22"/>
        </w:rPr>
        <w:t>Source: Yahoo Finance / Stock Price Data; Visible Alpha Stock Performance Decomposition.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today’s Corning (GLW) Q2 print and Q3 guidance miss, which sent GLW down ~19% and raises questions about AI optical demand pacing — a potential near-term sentiment headwind for APH even though APH’s product exposure is far broader. The broader peer read-through from TEL, CLS, JBL, and SANM is strongly positive.</w:t>
      </w:r>
    </w:p>
    <w:p>
      <w:pPr>
        <w:pStyle w:val="ListBullet"/>
        <w:ind w:left="360" w:hanging="360"/>
      </w:pPr>
      <w:r>
        <w:rPr>
          <w:rFonts w:ascii="Calibri" w:hAnsi="Calibri"/>
          <w:b/>
          <w:color w:val="525866"/>
          <w:sz w:val="22"/>
        </w:rPr>
        <w:t>July 28, 2026 — Corning (GLW) Q2 2026 Earnings &amp; Q3 Guidance Miss:</w:t>
      </w:r>
      <w:r>
        <w:rPr>
          <w:rFonts w:ascii="Calibri" w:hAnsi="Calibri"/>
          <w:color w:val="525866"/>
          <w:sz w:val="22"/>
        </w:rPr>
        <w:t xml:space="preserve"> GLW reported Q2 adj. EPS of $0.78 (beat vs. $0.76 consensus) and revenue of $4.74B (+17% YoY, beat vs. $4.63B consensus), but Q3 guidance of $4.9–$5.0B revenue and $0.85–$0.89 EPS came in at or slightly below Street expectations. GLW fell ~19% — its worst day since 2002. </w:t>
      </w:r>
      <w:r>
        <w:rPr>
          <w:rFonts w:ascii="Calibri" w:hAnsi="Calibri"/>
          <w:b/>
          <w:color w:val="525866"/>
          <w:sz w:val="22"/>
        </w:rPr>
        <w:t>Implication for APH:</w:t>
      </w:r>
      <w:r>
        <w:rPr>
          <w:rFonts w:ascii="Calibri" w:hAnsi="Calibri"/>
          <w:color w:val="525866"/>
          <w:sz w:val="22"/>
        </w:rPr>
        <w:t xml:space="preserve"> GLW’s Q3 guide disappointment may create near-term sentiment pressure on AI-linked interconnect names including APH. However, GLW’s optical fiber business is more concentrated in a single architecture (scale-out fiber) than APH’s diversified copper/power/fiber portfolio. APH management has explicitly stated customers are demanding more interconnect regardless of architecture choice.</w:t>
      </w:r>
    </w:p>
    <w:p>
      <w:pPr>
        <w:pStyle w:val="ListBullet"/>
        <w:ind w:left="360" w:hanging="360"/>
      </w:pPr>
      <w:r>
        <w:rPr>
          <w:rFonts w:ascii="Calibri" w:hAnsi="Calibri"/>
          <w:b/>
          <w:color w:val="525866"/>
          <w:sz w:val="22"/>
        </w:rPr>
        <w:t>July 27, 2026 — Celestica (CLS) Q2 2026 Blowout:</w:t>
      </w:r>
      <w:r>
        <w:rPr>
          <w:rFonts w:ascii="Calibri" w:hAnsi="Calibri"/>
          <w:color w:val="525866"/>
          <w:sz w:val="22"/>
        </w:rPr>
        <w:t xml:space="preserve"> CLS reported Q2 EPS of $2.54 (beat vs. $2.30 consensus) and revenue of $4.7B (+62% YoY, beat vs. $4.4B consensus). Full-year guidance raised to $11.30 EPS and $20.5B revenue (from $10.15 and $19.0B). Preliminary 2027 guidance implies revenue exceeding $34B vs. Street at $27.6B. </w:t>
      </w:r>
      <w:r>
        <w:rPr>
          <w:rFonts w:ascii="Calibri" w:hAnsi="Calibri"/>
          <w:b/>
          <w:color w:val="525866"/>
          <w:sz w:val="22"/>
        </w:rPr>
        <w:t>Implication for APH:</w:t>
      </w:r>
      <w:r>
        <w:rPr>
          <w:rFonts w:ascii="Calibri" w:hAnsi="Calibri"/>
          <w:color w:val="525866"/>
          <w:sz w:val="22"/>
        </w:rPr>
        <w:t xml:space="preserve"> Strongly positive read-through. CLS’s AI infrastructure demand is directly tied to the same hyperscaler capex cycle that drives APH’s IT datacom segment. The magnitude of the CLS beat and guidance raise suggests AI infrastructure demand remains robust and is not decelerating.</w:t>
      </w:r>
    </w:p>
    <w:p>
      <w:pPr>
        <w:pStyle w:val="ListBullet"/>
        <w:ind w:left="360" w:hanging="360"/>
      </w:pPr>
      <w:r>
        <w:rPr>
          <w:rFonts w:ascii="Calibri" w:hAnsi="Calibri"/>
          <w:b/>
          <w:color w:val="525866"/>
          <w:sz w:val="22"/>
        </w:rPr>
        <w:t>July 22, 2026 — TE Connectivity (TEL) FQ3 2026 Beat &amp; Acquisition:</w:t>
      </w:r>
      <w:r>
        <w:rPr>
          <w:rFonts w:ascii="Calibri" w:hAnsi="Calibri"/>
          <w:color w:val="525866"/>
          <w:sz w:val="22"/>
        </w:rPr>
        <w:t xml:space="preserve"> TEL reported FQ3 EPS of $2.94 (beat vs. $2.84 consensus) and revenue of $5.16B (beat vs. $5.0B consensus). Operating margins of 22% expanded 90 bps YoY. FQ4 guidance of $5.25B revenue and $3.05 EPS both above consensus. TEL also announced the acquisition of Astrodyne TDI for $1.4B. </w:t>
      </w:r>
      <w:r>
        <w:rPr>
          <w:rFonts w:ascii="Calibri" w:hAnsi="Calibri"/>
          <w:b/>
          <w:color w:val="525866"/>
          <w:sz w:val="22"/>
        </w:rPr>
        <w:t>Implication for APH:</w:t>
      </w:r>
      <w:r>
        <w:rPr>
          <w:rFonts w:ascii="Calibri" w:hAnsi="Calibri"/>
          <w:color w:val="525866"/>
          <w:sz w:val="22"/>
        </w:rPr>
        <w:t xml:space="preserve"> Direct positive read-through. TEL is APH’s closest public peer in electronic connectors. Strong results and above-consensus guidance validate the demand environment APH is operating in. TEL’s DDN (Digital Data Networks) orders up 70%+ YTD is a direct signal for APH’s IT datacom segment.</w:t>
      </w:r>
    </w:p>
    <w:p>
      <w:pPr>
        <w:pStyle w:val="ListBullet"/>
        <w:ind w:left="360" w:hanging="360"/>
      </w:pPr>
      <w:r>
        <w:rPr>
          <w:rFonts w:ascii="Calibri" w:hAnsi="Calibri"/>
          <w:b/>
          <w:color w:val="525866"/>
          <w:sz w:val="22"/>
        </w:rPr>
        <w:t>May 12, 2026 — APH Euro Senior Notes Offering ($1.1B equivalent):</w:t>
      </w:r>
      <w:r>
        <w:rPr>
          <w:rFonts w:ascii="Calibri" w:hAnsi="Calibri"/>
          <w:color w:val="525866"/>
          <w:sz w:val="22"/>
        </w:rPr>
        <w:t xml:space="preserve"> Amphenol issued €600M of 3.375% Senior Notes due 2029 and €500M of 3.875% Senior Notes due 2034, raising net proceeds of ~€1.09B. Proceeds used to repay U.S. commercial paper and 364-day term loan borrowings. </w:t>
      </w:r>
      <w:r>
        <w:rPr>
          <w:rFonts w:ascii="Calibri" w:hAnsi="Calibri"/>
          <w:b/>
          <w:color w:val="525866"/>
          <w:sz w:val="22"/>
        </w:rPr>
        <w:t>Implication for APH:</w:t>
      </w:r>
      <w:r>
        <w:rPr>
          <w:rFonts w:ascii="Calibri" w:hAnsi="Calibri"/>
          <w:color w:val="525866"/>
          <w:sz w:val="22"/>
        </w:rPr>
        <w:t xml:space="preserve"> Balance sheet management action following the CommScope acquisition. No guidance implications. Demonstrates access to European capital markets at attractive rates and reduces short-term refinancing risk. Net leverage remains at ~1.6x EBITDA as of Q1 2026.</w:t>
      </w:r>
    </w:p>
    <w:p>
      <w:pPr>
        <w:pStyle w:val="ListBullet"/>
        <w:ind w:left="360" w:hanging="360"/>
      </w:pPr>
      <w:r>
        <w:rPr>
          <w:rFonts w:ascii="Calibri" w:hAnsi="Calibri"/>
          <w:b/>
          <w:color w:val="525866"/>
          <w:sz w:val="22"/>
        </w:rPr>
        <w:t>June 17, 2026 — Jabil (JBL) FQ3 2026 Earnings &amp; AI Revenue Raise:</w:t>
      </w:r>
      <w:r>
        <w:rPr>
          <w:rFonts w:ascii="Calibri" w:hAnsi="Calibri"/>
          <w:color w:val="525866"/>
          <w:sz w:val="22"/>
        </w:rPr>
        <w:t xml:space="preserve"> JBL raised its FY2026 AI-related revenue outlook to ~$13.6B (from $13.1B), representing ~50% YoY growth. Announced a third hyperscaler customer win. Announced a $1.5B buyback program (July 15). </w:t>
      </w:r>
      <w:r>
        <w:rPr>
          <w:rFonts w:ascii="Calibri" w:hAnsi="Calibri"/>
          <w:b/>
          <w:color w:val="525866"/>
          <w:sz w:val="22"/>
        </w:rPr>
        <w:t>Implication for APH:</w:t>
      </w:r>
      <w:r>
        <w:rPr>
          <w:rFonts w:ascii="Calibri" w:hAnsi="Calibri"/>
          <w:color w:val="525866"/>
          <w:sz w:val="22"/>
        </w:rPr>
        <w:t xml:space="preserve"> Positive read-through. JBL’s AI infrastructure revenue acceleration and new hyperscaler wins confirm that the AI capex cycle is broadening, not narrowing. JBL’s capacity expansion (10% footprint increase globally) implies sustained component demand.</w:t>
      </w:r>
    </w:p>
    <w:p>
      <w:pPr>
        <w:pStyle w:val="ListBullet"/>
        <w:ind w:left="360" w:hanging="360"/>
      </w:pPr>
      <w:r>
        <w:rPr>
          <w:rFonts w:ascii="Calibri" w:hAnsi="Calibri"/>
          <w:b/>
          <w:color w:val="525866"/>
          <w:sz w:val="22"/>
        </w:rPr>
        <w:t>July 15–16, 2026 — Analyst Rating/PT Activity:</w:t>
      </w:r>
      <w:r>
        <w:rPr>
          <w:rFonts w:ascii="Calibri" w:hAnsi="Calibri"/>
          <w:color w:val="525866"/>
          <w:sz w:val="22"/>
        </w:rPr>
        <w:t xml:space="preserve"> No upgrades or downgrades identified for APH in the 60-day window prior to the research cutoff date of July 28, 2026.</w:t>
      </w:r>
    </w:p>
    <w:p>
      <w:pPr>
        <w:pStyle w:val="ListBullet"/>
        <w:ind w:left="360" w:hanging="360"/>
      </w:pPr>
      <w:r>
        <w:rPr>
          <w:rFonts w:ascii="Calibri" w:hAnsi="Calibri"/>
          <w:b/>
          <w:color w:val="525866"/>
          <w:sz w:val="22"/>
        </w:rPr>
        <w:t>Ongoing — China Tax Matter (Fully Accrued):</w:t>
      </w:r>
      <w:r>
        <w:rPr>
          <w:rFonts w:ascii="Calibri" w:hAnsi="Calibri"/>
          <w:color w:val="525866"/>
          <w:sz w:val="22"/>
        </w:rPr>
        <w:t xml:space="preserve"> APH received unfavorable tax determinations from Chinese tax authorities. Total accruals of $230M ($100M in Q4 2025 + $130M in Q1 2026) plus a $160M additional tax provision adjustment cover the full amount of tax payment notices received. The adjusted effective tax rate has been permanently raised to 27% for the remainder of 2026. </w:t>
      </w:r>
      <w:r>
        <w:rPr>
          <w:rFonts w:ascii="Calibri" w:hAnsi="Calibri"/>
          <w:b/>
          <w:color w:val="525866"/>
          <w:sz w:val="22"/>
        </w:rPr>
        <w:t>Implication for APH:</w:t>
      </w:r>
      <w:r>
        <w:rPr>
          <w:rFonts w:ascii="Calibri" w:hAnsi="Calibri"/>
          <w:color w:val="525866"/>
          <w:sz w:val="22"/>
        </w:rPr>
        <w:t xml:space="preserve"> The GAAP impact is fully accrued and excluded from adjusted figures. The higher adjusted tax rate (~27% vs. prior ~24%) is a permanent headwind to adjusted EPS that is already reflected in consensus estimates.</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CEO Adam Norwitt sold ~130,775 shares across three transactions in early May 2026, shortly after the Q1 earnings release. While the sales are notable in size, they appear to be discretionary open-market sales (no 10b5-1 plan indicated) executed at prices in the $136–$148 range — well below the subsequent June peak of $176. No insider purchases have been identified in the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Richard Adam Norwitt</w:t>
            </w:r>
          </w:p>
        </w:tc>
        <w:tc>
          <w:tcPr>
            <w:tcW w:type="dxa" w:w="1440"/>
          </w:tcPr>
          <w:p>
            <w:r>
              <w:rPr>
                <w:rFonts w:ascii="Calibri" w:hAnsi="Calibri"/>
                <w:sz w:val="22"/>
              </w:rPr>
              <w:t>President &amp; CEO, Director</w:t>
            </w:r>
          </w:p>
        </w:tc>
        <w:tc>
          <w:tcPr>
            <w:tcW w:type="dxa" w:w="1440"/>
          </w:tcPr>
          <w:p>
            <w:r>
              <w:rPr>
                <w:rFonts w:ascii="Calibri" w:hAnsi="Calibri"/>
                <w:sz w:val="22"/>
              </w:rPr>
              <w:t>Open Market Sale</w:t>
            </w:r>
          </w:p>
        </w:tc>
        <w:tc>
          <w:tcPr>
            <w:tcW w:type="dxa" w:w="1440"/>
          </w:tcPr>
          <w:p>
            <w:r>
              <w:rPr>
                <w:rFonts w:ascii="Calibri" w:hAnsi="Calibri"/>
                <w:sz w:val="22"/>
              </w:rPr>
              <w:t>61,072 shares</w:t>
            </w:r>
          </w:p>
        </w:tc>
        <w:tc>
          <w:tcPr>
            <w:tcW w:type="dxa" w:w="1440"/>
          </w:tcPr>
          <w:p>
            <w:r>
              <w:rPr>
                <w:rFonts w:ascii="Calibri" w:hAnsi="Calibri"/>
                <w:sz w:val="22"/>
              </w:rPr>
              <w:t>May 1, 2026</w:t>
            </w:r>
          </w:p>
        </w:tc>
        <w:tc>
          <w:tcPr>
            <w:tcW w:type="dxa" w:w="1440"/>
          </w:tcPr>
          <w:p>
            <w:r>
              <w:rPr>
                <w:rFonts w:ascii="Calibri" w:hAnsi="Calibri"/>
                <w:sz w:val="22"/>
              </w:rPr>
              <w:t>Discretionary sale; no 10b5-1 plan indicated. Filed May 5, 2026. Executed ~6 days post-Q1 earnings.</w:t>
            </w:r>
          </w:p>
        </w:tc>
      </w:tr>
      <w:tr>
        <w:tc>
          <w:tcPr>
            <w:tcW w:type="dxa" w:w="1440"/>
          </w:tcPr>
          <w:p>
            <w:r>
              <w:rPr>
                <w:rFonts w:ascii="Calibri" w:hAnsi="Calibri"/>
                <w:sz w:val="22"/>
              </w:rPr>
              <w:t>Richard Adam Norwitt</w:t>
            </w:r>
          </w:p>
        </w:tc>
        <w:tc>
          <w:tcPr>
            <w:tcW w:type="dxa" w:w="1440"/>
          </w:tcPr>
          <w:p>
            <w:r>
              <w:rPr>
                <w:rFonts w:ascii="Calibri" w:hAnsi="Calibri"/>
                <w:sz w:val="22"/>
              </w:rPr>
              <w:t>President &amp; CEO, Director</w:t>
            </w:r>
          </w:p>
        </w:tc>
        <w:tc>
          <w:tcPr>
            <w:tcW w:type="dxa" w:w="1440"/>
          </w:tcPr>
          <w:p>
            <w:r>
              <w:rPr>
                <w:rFonts w:ascii="Calibri" w:hAnsi="Calibri"/>
                <w:sz w:val="22"/>
              </w:rPr>
              <w:t>Open Market Sale</w:t>
            </w:r>
          </w:p>
        </w:tc>
        <w:tc>
          <w:tcPr>
            <w:tcW w:type="dxa" w:w="1440"/>
          </w:tcPr>
          <w:p>
            <w:r>
              <w:rPr>
                <w:rFonts w:ascii="Calibri" w:hAnsi="Calibri"/>
                <w:sz w:val="22"/>
              </w:rPr>
              <w:t>52,203 shares</w:t>
            </w:r>
          </w:p>
        </w:tc>
        <w:tc>
          <w:tcPr>
            <w:tcW w:type="dxa" w:w="1440"/>
          </w:tcPr>
          <w:p>
            <w:r>
              <w:rPr>
                <w:rFonts w:ascii="Calibri" w:hAnsi="Calibri"/>
                <w:sz w:val="22"/>
              </w:rPr>
              <w:t>May 4, 2026</w:t>
            </w:r>
          </w:p>
        </w:tc>
        <w:tc>
          <w:tcPr>
            <w:tcW w:type="dxa" w:w="1440"/>
          </w:tcPr>
          <w:p>
            <w:r>
              <w:rPr>
                <w:rFonts w:ascii="Calibri" w:hAnsi="Calibri"/>
                <w:sz w:val="22"/>
              </w:rPr>
              <w:t>Discretionary sale; no 10b5-1 plan indicated. Filed May 5, 2026.</w:t>
            </w:r>
          </w:p>
        </w:tc>
      </w:tr>
      <w:tr>
        <w:tc>
          <w:tcPr>
            <w:tcW w:type="dxa" w:w="1440"/>
          </w:tcPr>
          <w:p>
            <w:r>
              <w:rPr>
                <w:rFonts w:ascii="Calibri" w:hAnsi="Calibri"/>
                <w:sz w:val="22"/>
              </w:rPr>
              <w:t>Richard Adam Norwitt</w:t>
            </w:r>
          </w:p>
        </w:tc>
        <w:tc>
          <w:tcPr>
            <w:tcW w:type="dxa" w:w="1440"/>
          </w:tcPr>
          <w:p>
            <w:r>
              <w:rPr>
                <w:rFonts w:ascii="Calibri" w:hAnsi="Calibri"/>
                <w:sz w:val="22"/>
              </w:rPr>
              <w:t>President &amp; CEO, Director</w:t>
            </w:r>
          </w:p>
        </w:tc>
        <w:tc>
          <w:tcPr>
            <w:tcW w:type="dxa" w:w="1440"/>
          </w:tcPr>
          <w:p>
            <w:r>
              <w:rPr>
                <w:rFonts w:ascii="Calibri" w:hAnsi="Calibri"/>
                <w:sz w:val="22"/>
              </w:rPr>
              <w:t>Open Market Sale</w:t>
            </w:r>
          </w:p>
        </w:tc>
        <w:tc>
          <w:tcPr>
            <w:tcW w:type="dxa" w:w="1440"/>
          </w:tcPr>
          <w:p>
            <w:r>
              <w:rPr>
                <w:rFonts w:ascii="Calibri" w:hAnsi="Calibri"/>
                <w:sz w:val="22"/>
              </w:rPr>
              <w:t>17,500 shares</w:t>
            </w:r>
          </w:p>
        </w:tc>
        <w:tc>
          <w:tcPr>
            <w:tcW w:type="dxa" w:w="1440"/>
          </w:tcPr>
          <w:p>
            <w:r>
              <w:rPr>
                <w:rFonts w:ascii="Calibri" w:hAnsi="Calibri"/>
                <w:sz w:val="22"/>
              </w:rPr>
              <w:t>May 5, 2026</w:t>
            </w:r>
          </w:p>
        </w:tc>
        <w:tc>
          <w:tcPr>
            <w:tcW w:type="dxa" w:w="1440"/>
          </w:tcPr>
          <w:p>
            <w:r>
              <w:rPr>
                <w:rFonts w:ascii="Calibri" w:hAnsi="Calibri"/>
                <w:sz w:val="22"/>
              </w:rPr>
              <w:t>Discretionary sale; no 10b5-1 plan indicated. Filed May 5, 2026.</w:t>
            </w:r>
          </w:p>
        </w:tc>
      </w:tr>
    </w:tbl>
    <w:p>
      <w:r>
        <w:rPr>
          <w:rFonts w:ascii="Calibri" w:hAnsi="Calibri"/>
          <w:b/>
          <w:color w:val="525866"/>
          <w:sz w:val="22"/>
        </w:rPr>
        <w:t xml:space="preserve">Total CEO Sales: </w:t>
      </w:r>
      <w:r>
        <w:rPr>
          <w:rFonts w:ascii="Calibri" w:hAnsi="Calibri"/>
          <w:color w:val="525866"/>
          <w:sz w:val="22"/>
        </w:rPr>
        <w:t>~130,775 shares sold across three transactions (May 1–5, 2026). Post-transaction holdings: ~1,927,507 shares. The sales were executed at prices in the $136–$148 range (based on stock price data for those dates), representing a combined estimated value of approximately $18–19M. The CEO retained a substantial position (~1.93M shares) after the sales. No other insider transactions (purchases or sales) were identified in the 60-day window. The absence of 10b5-1 plan disclosure is worth monitoring but is not unusual for APH’s CEO, who has historically sold shares periodically.</w:t>
      </w:r>
    </w:p>
    <w:p>
      <w:r>
        <w:rPr>
          <w:rFonts w:ascii="Calibri" w:hAnsi="Calibri"/>
          <w:i/>
          <w:color w:val="525866"/>
          <w:sz w:val="22"/>
        </w:rPr>
        <w:t>Source: SEC Form 4 Filings Database; APH Form 4 filed May 5, 2026.</w:t>
      </w:r>
    </w:p>
    <w:p>
      <w:r>
        <w:br w:type="page"/>
      </w:r>
    </w:p>
    <w:p>
      <w:pPr>
        <w:pStyle w:val="Heading1"/>
        <w:pBdr>
          <w:bottom w:val="single" w:sz="4" w:space="1" w:color="FB9120"/>
        </w:pBdr>
      </w:pPr>
      <w:r>
        <w:rPr>
          <w:rFonts w:ascii="Calibri" w:hAnsi="Calibri"/>
          <w:b/>
          <w:color w:val="3B4259"/>
          <w:sz w:val="40"/>
        </w:rPr>
        <w:t>8. Peer Commentaries &amp; Read-Throughs</w:t>
      </w:r>
    </w:p>
    <w:p>
      <w:r>
        <w:rPr>
          <w:rFonts w:ascii="Calibri" w:hAnsi="Calibri"/>
          <w:b/>
          <w:color w:val="525866"/>
          <w:sz w:val="22"/>
        </w:rPr>
        <w:t xml:space="preserve">Key Takeaway: </w:t>
      </w:r>
      <w:r>
        <w:rPr>
          <w:rFonts w:ascii="Calibri" w:hAnsi="Calibri"/>
          <w:color w:val="525866"/>
          <w:sz w:val="22"/>
        </w:rPr>
        <w:t>Peer commentary from the past 60 days is overwhelmingly positive for APH’s Q2 setup — TE Connectivity, Celestica, Jabil, Sanmina, and Vicor all point to accelerating AI/datacenter demand, strong order visibility, and capacity expansion. The one cautionary note is Corning’s Q3 guidance miss today, which may create near-term sentiment pressure despite APH’s more diversified product mix.</w:t>
      </w:r>
    </w:p>
    <w:p>
      <w:r>
        <w:rPr>
          <w:rFonts w:ascii="Calibri" w:hAnsi="Calibri"/>
          <w:b/>
          <w:color w:val="525866"/>
          <w:sz w:val="22"/>
        </w:rPr>
        <w:t xml:space="preserve">Scope: </w:t>
      </w:r>
      <w:r>
        <w:rPr>
          <w:rFonts w:ascii="Calibri" w:hAnsi="Calibri"/>
          <w:color w:val="525866"/>
          <w:sz w:val="22"/>
        </w:rPr>
        <w:t xml:space="preserve">The following peer commentaries are drawn exclusively from management statements made in the 60 days prior to July 28, 2026 (i.e., since May 29, 2026) that address the peer’s </w:t>
      </w:r>
      <w:r>
        <w:rPr>
          <w:rFonts w:ascii="Calibri" w:hAnsi="Calibri"/>
          <w:b/>
          <w:i/>
          <w:color w:val="525866"/>
          <w:sz w:val="22"/>
        </w:rPr>
        <w:t>forward or current reporting quarter outlook</w:t>
      </w:r>
      <w:r>
        <w:rPr>
          <w:rFonts w:ascii="Calibri" w:hAnsi="Calibri"/>
          <w:color w:val="525866"/>
          <w:sz w:val="22"/>
        </w:rPr>
        <w:t>. Retrospective discussion of already-reported quarters is excluded. All commentary is sourced from earnings call transcripts and conference presentations.</w:t>
      </w:r>
    </w:p>
    <w:p>
      <w:pPr>
        <w:pStyle w:val="Heading2"/>
      </w:pPr>
      <w:r>
        <w:rPr>
          <w:rFonts w:ascii="Calibri" w:hAnsi="Calibri"/>
          <w:b/>
          <w:color w:val="3B4259"/>
          <w:sz w:val="28"/>
        </w:rPr>
        <w:t>8.1 TE Connectivity (TEL) — FQ3 2026 Earnings Call, July 22, 2026</w:t>
      </w:r>
    </w:p>
    <w:p>
      <w:r>
        <w:rPr>
          <w:rFonts w:ascii="Calibri" w:hAnsi="Calibri"/>
          <w:b/>
          <w:color w:val="525866"/>
          <w:sz w:val="22"/>
        </w:rPr>
        <w:t xml:space="preserve">Relevance to APH: </w:t>
      </w:r>
      <w:r>
        <w:rPr>
          <w:rFonts w:ascii="Calibri" w:hAnsi="Calibri"/>
          <w:color w:val="525866"/>
          <w:sz w:val="22"/>
        </w:rPr>
        <w:t>TEL is APH’s closest public peer in electronic connectors and sensors. TEL’s forward commentary is the highest-quality read-through available for APH’s end-market demand, margin trajectory, and order visibility.</w:t>
      </w:r>
    </w:p>
    <w:p>
      <w:pPr>
        <w:pStyle w:val="Heading3"/>
      </w:pPr>
      <w:r>
        <w:rPr>
          <w:rFonts w:ascii="Calibri" w:hAnsi="Calibri"/>
          <w:b/>
          <w:color w:val="3B4259"/>
          <w:sz w:val="24"/>
        </w:rPr>
        <w:t>AI / Datacenter Demand (Forward-Looking)</w:t>
      </w:r>
    </w:p>
    <w:p>
      <w:r>
        <w:rPr>
          <w:rFonts w:ascii="Calibri" w:hAnsi="Calibri"/>
          <w:color w:val="525866"/>
          <w:sz w:val="22"/>
        </w:rPr>
        <w:t>TEL’s CEO Terrence Curtin stated that the company’s $3B AI cloud revenue target from Investor Day “is ahead of schedule and has continued to shift left.” Digital Data Networks (DDN) year-to-date orders are up over 70% versus last year, and management expects DDN to be “a very big growth driver into FY27 again.” TEL guided FQ4 DDN revenue to be up sequentially over FQ3. On the copper vs. optical debate, Curtin was clear: “it’s copper and optical — you’re going to have different needs,” with copper dominating scale-up (within the rack) and optical dominating scale-out. Power connectivity is growing as a share of AI revenue (“one third of what we do in AI is power connectivity”) and TEL expects “outgrowth in that area as people move up the high voltage architectures.”</w:t>
      </w:r>
    </w:p>
    <w:p>
      <w:r>
        <w:rPr>
          <w:rFonts w:ascii="Calibri" w:hAnsi="Calibri"/>
          <w:b/>
          <w:color w:val="525866"/>
          <w:sz w:val="22"/>
        </w:rPr>
        <w:t xml:space="preserve">APH Read-Through: </w:t>
      </w:r>
      <w:r>
        <w:rPr>
          <w:rFonts w:ascii="Calibri" w:hAnsi="Calibri"/>
          <w:color w:val="525866"/>
          <w:sz w:val="22"/>
        </w:rPr>
        <w:t>Highly positive. TEL’s accelerating DDN order momentum and “shift left” of AI revenue targets directly validate APH’s IT datacom growth trajectory. The copper/optical coexistence narrative aligns with APH management’s own framing that customers demand more interconnect regardless of architecture. TEL’s power connectivity growth (1/3 of AI revenue) is a direct read-through for APH’s power interconnect business, which management has highlighted as a key growth driver.</w:t>
      </w:r>
    </w:p>
    <w:p>
      <w:pPr>
        <w:pStyle w:val="Heading3"/>
      </w:pPr>
      <w:r>
        <w:rPr>
          <w:rFonts w:ascii="Calibri" w:hAnsi="Calibri"/>
          <w:b/>
          <w:color w:val="3B4259"/>
          <w:sz w:val="24"/>
        </w:rPr>
        <w:t>Order Visibility &amp; Book-to-Bill (Forward-Looking)</w:t>
      </w:r>
    </w:p>
    <w:p>
      <w:r>
        <w:rPr>
          <w:rFonts w:ascii="Calibri" w:hAnsi="Calibri"/>
          <w:color w:val="525866"/>
          <w:sz w:val="22"/>
        </w:rPr>
        <w:t>TEL reported record orders of $5.7B in FQ3, growing 27% YoY and 7% sequentially, with a book-to-bill of 1.1x both in the quarter and year-to-date. CFO Heath Mitts stated: “The order momentum and backlog growth give us confidence that our strong performance will continue into next year.” TEL expects to “exit this year with a strong backlog position in both segments.”</w:t>
      </w:r>
    </w:p>
    <w:p>
      <w:r>
        <w:rPr>
          <w:rFonts w:ascii="Calibri" w:hAnsi="Calibri"/>
          <w:b/>
          <w:color w:val="525866"/>
          <w:sz w:val="22"/>
        </w:rPr>
        <w:t xml:space="preserve">APH Read-Through: </w:t>
      </w:r>
      <w:r>
        <w:rPr>
          <w:rFonts w:ascii="Calibri" w:hAnsi="Calibri"/>
          <w:color w:val="525866"/>
          <w:sz w:val="22"/>
        </w:rPr>
        <w:t>Positive. TEL’s record backlog and 1.1x book-to-bill heading into the next quarter is directionally consistent with APH’s own record 1.24x book-to-bill in Q1 2026. Both companies are seeing customers commit to multi-quarter capacity, supporting forward revenue visibility.</w:t>
      </w:r>
    </w:p>
    <w:p>
      <w:pPr>
        <w:pStyle w:val="Heading3"/>
      </w:pPr>
      <w:r>
        <w:rPr>
          <w:rFonts w:ascii="Calibri" w:hAnsi="Calibri"/>
          <w:b/>
          <w:color w:val="3B4259"/>
          <w:sz w:val="24"/>
        </w:rPr>
        <w:t>Industrial, Auto &amp; Defense (Forward-Looking)</w:t>
      </w:r>
    </w:p>
    <w:p>
      <w:r>
        <w:rPr>
          <w:rFonts w:ascii="Calibri" w:hAnsi="Calibri"/>
          <w:color w:val="525866"/>
          <w:sz w:val="22"/>
        </w:rPr>
        <w:t>TEL’s industrial segment orders grew 36% YoY with “strong growth in every business.” Energy is expected to be a “mid-teens type grower” in FQ4 and into FY27, with ~1/3 of energy market growth driven by data center build-outs. Automotive sales grew 3% organically above the market, with full-year content outperformance expected in the 4–6 point range. Defense grew 12% and is described as “at a different inflection point due to geopolitics” with “a velocity increase on programs.”</w:t>
      </w:r>
    </w:p>
    <w:p>
      <w:r>
        <w:rPr>
          <w:rFonts w:ascii="Calibri" w:hAnsi="Calibri"/>
          <w:b/>
          <w:color w:val="525866"/>
          <w:sz w:val="22"/>
        </w:rPr>
        <w:t xml:space="preserve">APH Read-Through: </w:t>
      </w:r>
      <w:r>
        <w:rPr>
          <w:rFonts w:ascii="Calibri" w:hAnsi="Calibri"/>
          <w:color w:val="525866"/>
          <w:sz w:val="22"/>
        </w:rPr>
        <w:t>Positive across all three segments. TEL’s industrial strength (36% order growth) validates APH’s Q1 industrial outperformance and management’s Q2 guidance for high-single-digit sequential growth. The defense acceleration narrative mirrors APH’s own defense commentary. Automotive content outperformance despite flat production is consistent with APH’s automotive strategy.</w:t>
      </w:r>
    </w:p>
    <w:p>
      <w:pPr>
        <w:pStyle w:val="Heading3"/>
      </w:pPr>
      <w:r>
        <w:rPr>
          <w:rFonts w:ascii="Calibri" w:hAnsi="Calibri"/>
          <w:b/>
          <w:color w:val="3B4259"/>
          <w:sz w:val="24"/>
        </w:rPr>
        <w:t>Margins (Forward-Looking)</w:t>
      </w:r>
    </w:p>
    <w:p>
      <w:r>
        <w:rPr>
          <w:rFonts w:ascii="Calibri" w:hAnsi="Calibri"/>
          <w:color w:val="525866"/>
          <w:sz w:val="22"/>
        </w:rPr>
        <w:t>TEL expects “sustained margin expansion and double-digit earnings growth” for the full fiscal year, with FY2026 EPS growth above 20%. Industrial segment margins expanded 70 bps to nearly 23% in FQ3. CFO Mitts guided for “30%+ flow-through for industrial volume” and expects “the same kind of momentum” into FY27.</w:t>
      </w:r>
    </w:p>
    <w:p>
      <w:r>
        <w:rPr>
          <w:rFonts w:ascii="Calibri" w:hAnsi="Calibri"/>
          <w:b/>
          <w:color w:val="525866"/>
          <w:sz w:val="22"/>
        </w:rPr>
        <w:t xml:space="preserve">APH Read-Through: </w:t>
      </w:r>
      <w:r>
        <w:rPr>
          <w:rFonts w:ascii="Calibri" w:hAnsi="Calibri"/>
          <w:color w:val="525866"/>
          <w:sz w:val="22"/>
        </w:rPr>
        <w:t>Positive. TEL’s margin expansion trajectory and high incremental margins validate the pricing power and operational leverage available in the interconnect industry. APH’s own 27.3% adjusted operating margin in Q1 2026 (380 bps YoY expansion) is consistent with this dynamic.</w:t>
      </w:r>
    </w:p>
    <w:p>
      <w:r>
        <w:rPr>
          <w:rFonts w:ascii="Calibri" w:hAnsi="Calibri"/>
          <w:i/>
          <w:color w:val="525866"/>
          <w:sz w:val="22"/>
        </w:rPr>
        <w:t>Source: TEL FQ3 2026 Earnings Call Transcript, July 22, 2026; TEL FQ3 2026 Earnings Release, July 22, 2026.</w:t>
      </w:r>
    </w:p>
    <w:p>
      <w:pPr>
        <w:pStyle w:val="Heading2"/>
      </w:pPr>
      <w:r>
        <w:rPr>
          <w:rFonts w:ascii="Calibri" w:hAnsi="Calibri"/>
          <w:b/>
          <w:color w:val="3B4259"/>
          <w:sz w:val="28"/>
        </w:rPr>
        <w:t>8.2 Celestica (CLS) — Q2 2026 Earnings Call, July 28, 2026</w:t>
      </w:r>
    </w:p>
    <w:p>
      <w:r>
        <w:rPr>
          <w:rFonts w:ascii="Calibri" w:hAnsi="Calibri"/>
          <w:b/>
          <w:color w:val="525866"/>
          <w:sz w:val="22"/>
        </w:rPr>
        <w:t xml:space="preserve">Relevance to APH: </w:t>
      </w:r>
      <w:r>
        <w:rPr>
          <w:rFonts w:ascii="Calibri" w:hAnsi="Calibri"/>
          <w:color w:val="525866"/>
          <w:sz w:val="22"/>
        </w:rPr>
        <w:t>CLS is a major EMS provider deeply embedded in AI infrastructure (hyperscaler rack integration, power, cooling). CLS’s forward commentary reflects the same AI capex cycle that drives APH’s IT datacom segment.</w:t>
      </w:r>
    </w:p>
    <w:p>
      <w:r>
        <w:rPr>
          <w:rFonts w:ascii="Calibri" w:hAnsi="Calibri"/>
          <w:b/>
          <w:color w:val="525866"/>
          <w:sz w:val="22"/>
        </w:rPr>
        <w:t xml:space="preserve">Note: </w:t>
      </w:r>
      <w:r>
        <w:rPr>
          <w:rFonts w:ascii="Calibri" w:hAnsi="Calibri"/>
          <w:color w:val="525866"/>
          <w:sz w:val="22"/>
        </w:rPr>
        <w:t>The CLS Q2 2026 earnings call transcript was not fully available at research cutoff (call ended). The following is based on the earnings release and news digest commentary from July 27–28, 2026.</w:t>
      </w:r>
    </w:p>
    <w:p>
      <w:pPr>
        <w:pStyle w:val="Heading3"/>
      </w:pPr>
      <w:r>
        <w:rPr>
          <w:rFonts w:ascii="Calibri" w:hAnsi="Calibri"/>
          <w:b/>
          <w:color w:val="3B4259"/>
          <w:sz w:val="24"/>
        </w:rPr>
        <w:t>AI / Datacenter Demand &amp; Forward Guidance</w:t>
      </w:r>
    </w:p>
    <w:p>
      <w:r>
        <w:rPr>
          <w:rFonts w:ascii="Calibri" w:hAnsi="Calibri"/>
          <w:color w:val="525866"/>
          <w:sz w:val="22"/>
        </w:rPr>
        <w:t>CLS reported Q2 EPS of $2.54 (beat vs. $2.30 consensus) and revenue of $4.7B (+62% YoY, beat vs. $4.4B consensus). Operating margins of 8.2% beat the 8.0% consensus. The company raised its full-year 2026 guidance to $11.30 EPS and $20.5B revenue (from $10.15 and $19.0B respectively). Preliminary 2027 guidance implies revenue exceeding $34B, compared to Street expectations of $27.6B — a massive upside surprise to forward estimates.</w:t>
      </w:r>
    </w:p>
    <w:p>
      <w:r>
        <w:rPr>
          <w:rFonts w:ascii="Calibri" w:hAnsi="Calibri"/>
          <w:b/>
          <w:color w:val="525866"/>
          <w:sz w:val="22"/>
        </w:rPr>
        <w:t xml:space="preserve">APH Read-Through: </w:t>
      </w:r>
      <w:r>
        <w:rPr>
          <w:rFonts w:ascii="Calibri" w:hAnsi="Calibri"/>
          <w:color w:val="525866"/>
          <w:sz w:val="22"/>
        </w:rPr>
        <w:t>Strongly positive. CLS’s magnitude of beat and guidance raise is the most bullish data point in the peer set for APH’s Q2 setup. CLS’s AI infrastructure revenue is directly tied to the same hyperscaler capex cycle that drives APH’s IT datacom segment. The preliminary 2027 guidance implying $34B+ revenue (vs. $27.6B Street) suggests the AI infrastructure buildout is accelerating, not decelerating — a direct positive for APH’s multi-year IT datacom growth trajectory.</w:t>
      </w:r>
    </w:p>
    <w:p>
      <w:r>
        <w:rPr>
          <w:rFonts w:ascii="Calibri" w:hAnsi="Calibri"/>
          <w:i/>
          <w:color w:val="525866"/>
          <w:sz w:val="22"/>
        </w:rPr>
        <w:t>Source: CLS Q2 2026 Earnings Release, July 27, 2026; CLS 8-K, July 27, 2026; News Digest, July 27–28, 2026.</w:t>
      </w:r>
    </w:p>
    <w:p>
      <w:pPr>
        <w:pStyle w:val="Heading2"/>
      </w:pPr>
      <w:r>
        <w:rPr>
          <w:rFonts w:ascii="Calibri" w:hAnsi="Calibri"/>
          <w:b/>
          <w:color w:val="3B4259"/>
          <w:sz w:val="28"/>
        </w:rPr>
        <w:t>8.3 Corning (GLW) — Q2 2026 Earnings Call, July 28, 2026</w:t>
      </w:r>
    </w:p>
    <w:p>
      <w:r>
        <w:rPr>
          <w:rFonts w:ascii="Calibri" w:hAnsi="Calibri"/>
          <w:b/>
          <w:color w:val="525866"/>
          <w:sz w:val="22"/>
        </w:rPr>
        <w:t xml:space="preserve">Relevance to APH: </w:t>
      </w:r>
      <w:r>
        <w:rPr>
          <w:rFonts w:ascii="Calibri" w:hAnsi="Calibri"/>
          <w:color w:val="525866"/>
          <w:sz w:val="22"/>
        </w:rPr>
        <w:t>GLW is a major supplier of optical fiber and connectivity solutions for AI data centers. GLW’s forward commentary is relevant to APH’s fiber optic interconnect business (expanded via the CommScope acquisition) and to broader AI infrastructure demand sentiment.</w:t>
      </w:r>
    </w:p>
    <w:p>
      <w:pPr>
        <w:pStyle w:val="Heading3"/>
      </w:pPr>
      <w:r>
        <w:rPr>
          <w:rFonts w:ascii="Calibri" w:hAnsi="Calibri"/>
          <w:b/>
          <w:color w:val="3B4259"/>
          <w:sz w:val="24"/>
        </w:rPr>
        <w:t>AI / Optical Demand &amp; Q3 Guidance (Forward-Looking)</w:t>
      </w:r>
    </w:p>
    <w:p>
      <w:r>
        <w:rPr>
          <w:rFonts w:ascii="Calibri" w:hAnsi="Calibri"/>
          <w:color w:val="525866"/>
          <w:sz w:val="22"/>
        </w:rPr>
        <w:t>GLW reported Q2 Optical Communications revenue of $2.0B (+32% YoY), with enterprise sales up 65% YoY and gen AI product sales “nearly doubled.” Orders are “accelerating.” However, Q3 guidance of $4.9–$5.0B revenue and $0.85–$0.89 EPS came in at or slightly below Street expectations, sending the stock down ~19%. Management clarified that the Q3 guide “is not intended to imply any deceleration in growth” and that they might hit their $20B annualized run rate target “a quarter or so early.” GLW’s long-term “Springboard plan” targets $30B by end of 2028 and $40B by end of 2030.</w:t>
      </w:r>
    </w:p>
    <w:p>
      <w:r>
        <w:rPr>
          <w:rFonts w:ascii="Calibri" w:hAnsi="Calibri"/>
          <w:color w:val="525866"/>
          <w:sz w:val="22"/>
        </w:rPr>
        <w:t>On co-packaged optics (CPO) and scale-up optical penetration, GLW stated: “Optical is beginning to penetrate the scale-up network” (currently 100% copper). NVIDIA’s Vera Rubin Ultra configuration will use “direct optical connections” for rack-to-rack extension. A fully optical scale-up system could require “160 fibers per GPU, which is ten times the amount of fibers of the current scale-out network.”</w:t>
      </w:r>
    </w:p>
    <w:p>
      <w:r>
        <w:rPr>
          <w:rFonts w:ascii="Calibri" w:hAnsi="Calibri"/>
          <w:b/>
          <w:color w:val="525866"/>
          <w:sz w:val="22"/>
        </w:rPr>
        <w:t xml:space="preserve">APH Read-Through: </w:t>
      </w:r>
      <w:r>
        <w:rPr>
          <w:rFonts w:ascii="Calibri" w:hAnsi="Calibri"/>
          <w:color w:val="525866"/>
          <w:sz w:val="22"/>
        </w:rPr>
        <w:t>Mixed. GLW’s Q3 guidance miss is a near-term sentiment headwind for AI-linked interconnect names including APH. However, the underlying demand narrative (accelerating orders, gen AI product sales nearly doubling, optical penetrating scale-up networks) is strongly positive for APH’s long-term fiber optic interconnect opportunity. APH’s product portfolio is far more diversified than GLW’s — APH has high-speed copper, power, and fiber optics across all AI architectures, while GLW is concentrated in optical fiber. The CPO/near-package optics opportunity that GLW is targeting is one APH management has explicitly discussed as a multi-year development program.</w:t>
      </w:r>
    </w:p>
    <w:p>
      <w:r>
        <w:rPr>
          <w:rFonts w:ascii="Calibri" w:hAnsi="Calibri"/>
          <w:i/>
          <w:color w:val="525866"/>
          <w:sz w:val="22"/>
        </w:rPr>
        <w:t>Source: GLW Q2 2026 Earnings Call Transcript, July 28, 2026; GLW Q2 2026 Earnings Release, July 28, 2026; GLW 8-K, July 28, 2026.</w:t>
      </w:r>
    </w:p>
    <w:p>
      <w:pPr>
        <w:pStyle w:val="Heading2"/>
      </w:pPr>
      <w:r>
        <w:rPr>
          <w:rFonts w:ascii="Calibri" w:hAnsi="Calibri"/>
          <w:b/>
          <w:color w:val="3B4259"/>
          <w:sz w:val="28"/>
        </w:rPr>
        <w:t>8.4 Jabil (JBL) — FQ3 2026 Earnings Call, June 17, 2026</w:t>
      </w:r>
    </w:p>
    <w:p>
      <w:r>
        <w:rPr>
          <w:rFonts w:ascii="Calibri" w:hAnsi="Calibri"/>
          <w:b/>
          <w:color w:val="525866"/>
          <w:sz w:val="22"/>
        </w:rPr>
        <w:t xml:space="preserve">Relevance to APH: </w:t>
      </w:r>
      <w:r>
        <w:rPr>
          <w:rFonts w:ascii="Calibri" w:hAnsi="Calibri"/>
          <w:color w:val="525866"/>
          <w:sz w:val="22"/>
        </w:rPr>
        <w:t>JBL is a major EMS provider with significant AI infrastructure exposure (rack integration, power, cooling, networking). JBL’s forward commentary reflects the same AI capex cycle and provides visibility into the component demand environment APH operates in.</w:t>
      </w:r>
    </w:p>
    <w:p>
      <w:pPr>
        <w:pStyle w:val="Heading3"/>
      </w:pPr>
      <w:r>
        <w:rPr>
          <w:rFonts w:ascii="Calibri" w:hAnsi="Calibri"/>
          <w:b/>
          <w:color w:val="3B4259"/>
          <w:sz w:val="24"/>
        </w:rPr>
        <w:t>AI / Datacenter Demand (Forward-Looking)</w:t>
      </w:r>
    </w:p>
    <w:p>
      <w:r>
        <w:rPr>
          <w:rFonts w:ascii="Calibri" w:hAnsi="Calibri"/>
          <w:color w:val="525866"/>
          <w:sz w:val="22"/>
        </w:rPr>
        <w:t>JBL raised its FY2026 AI-related revenue outlook to ~$13.6B (from $13.1B), representing ~50% YoY growth. Management expects “AI related revenue growth in FY27 in percentage terms to be similar to FY26, but off a much larger revenue base.” JBL announced a third hyperscaler customer win, with revenue expected to reach “a couple of hundred million dollars range for FY27” and “billion dollar and then beyond in FY28.” The company is “expanding capacity in a disciplined way, tight to visible customer demand.”</w:t>
      </w:r>
    </w:p>
    <w:p>
      <w:r>
        <w:rPr>
          <w:rFonts w:ascii="Calibri" w:hAnsi="Calibri"/>
          <w:b/>
          <w:color w:val="525866"/>
          <w:sz w:val="22"/>
        </w:rPr>
        <w:t xml:space="preserve">APH Read-Through: </w:t>
      </w:r>
      <w:r>
        <w:rPr>
          <w:rFonts w:ascii="Calibri" w:hAnsi="Calibri"/>
          <w:color w:val="525866"/>
          <w:sz w:val="22"/>
        </w:rPr>
        <w:t>Strongly positive. JBL’s AI revenue acceleration and new hyperscaler wins confirm that the AI capex cycle is broadening. JBL’s capacity expansion (10% global footprint increase) implies sustained demand for APH’s components used in rack integration, power distribution, and networking equipment.</w:t>
      </w:r>
    </w:p>
    <w:p>
      <w:pPr>
        <w:pStyle w:val="Heading3"/>
      </w:pPr>
      <w:r>
        <w:rPr>
          <w:rFonts w:ascii="Calibri" w:hAnsi="Calibri"/>
          <w:b/>
          <w:color w:val="3B4259"/>
          <w:sz w:val="24"/>
        </w:rPr>
        <w:t>Optical / Networking (Forward-Looking)</w:t>
      </w:r>
    </w:p>
    <w:p>
      <w:r>
        <w:rPr>
          <w:rFonts w:ascii="Calibri" w:hAnsi="Calibri"/>
          <w:color w:val="525866"/>
          <w:sz w:val="22"/>
        </w:rPr>
        <w:t>JBL reported networking and communications revenue up more than 50% in FQ3, “supported by a strong networking ramp in India.” Management expects networking growth to “continue in FY27,” driven by Ethernet demand and silicon photonics. “High end, high density interconnect PCBs are in high demand. Lead times have been extending.”</w:t>
      </w:r>
    </w:p>
    <w:p>
      <w:r>
        <w:rPr>
          <w:rFonts w:ascii="Calibri" w:hAnsi="Calibri"/>
          <w:b/>
          <w:color w:val="525866"/>
          <w:sz w:val="22"/>
        </w:rPr>
        <w:t xml:space="preserve">APH Read-Through: </w:t>
      </w:r>
      <w:r>
        <w:rPr>
          <w:rFonts w:ascii="Calibri" w:hAnsi="Calibri"/>
          <w:color w:val="525866"/>
          <w:sz w:val="22"/>
        </w:rPr>
        <w:t>Positive. Extending lead times for high-density interconnect PCBs and strong networking demand are direct positive signals for APH’s high-speed connector and cable assembly business. The silicon photonics growth narrative aligns with APH’s fiber optic interconnect expansion via CommScope.</w:t>
      </w:r>
    </w:p>
    <w:p>
      <w:pPr>
        <w:pStyle w:val="Heading3"/>
      </w:pPr>
      <w:r>
        <w:rPr>
          <w:rFonts w:ascii="Calibri" w:hAnsi="Calibri"/>
          <w:b/>
          <w:color w:val="3B4259"/>
          <w:sz w:val="24"/>
        </w:rPr>
        <w:t>Industrial / Auto (Forward-Looking)</w:t>
      </w:r>
    </w:p>
    <w:p>
      <w:r>
        <w:rPr>
          <w:rFonts w:ascii="Calibri" w:hAnsi="Calibri"/>
          <w:color w:val="525866"/>
          <w:sz w:val="22"/>
        </w:rPr>
        <w:t>JBL raised its FY2026 auto revenue outlook to ~$4.4B (from $4.2B), citing “improving trends in automotive and transportation.” Management remains “cautious on the automotive market given continued demand volatility.” Renewables are improving, supported by “demand for power tied to AI and data center infrastructure.”</w:t>
      </w:r>
    </w:p>
    <w:p>
      <w:r>
        <w:rPr>
          <w:rFonts w:ascii="Calibri" w:hAnsi="Calibri"/>
          <w:b/>
          <w:color w:val="525866"/>
          <w:sz w:val="22"/>
        </w:rPr>
        <w:t xml:space="preserve">APH Read-Through: </w:t>
      </w:r>
      <w:r>
        <w:rPr>
          <w:rFonts w:ascii="Calibri" w:hAnsi="Calibri"/>
          <w:color w:val="525866"/>
          <w:sz w:val="22"/>
        </w:rPr>
        <w:t>Mixed but net positive. The automotive improvement is consistent with APH’s Q2 guidance for modest sequential growth. The caution on demand volatility is consistent with APH management’s measured tone on automotive. Renewables growth driven by AI power demand is a positive for APH’s industrial/energy segment.</w:t>
      </w:r>
    </w:p>
    <w:p>
      <w:r>
        <w:rPr>
          <w:rFonts w:ascii="Calibri" w:hAnsi="Calibri"/>
          <w:i/>
          <w:color w:val="525866"/>
          <w:sz w:val="22"/>
        </w:rPr>
        <w:t>Source: JBL FQ3 2026 Earnings Call Transcript, June 17, 2026; JBL FQ3 2026 Earnings Release, June 17, 2026.</w:t>
      </w:r>
    </w:p>
    <w:p>
      <w:pPr>
        <w:pStyle w:val="Heading2"/>
      </w:pPr>
      <w:r>
        <w:rPr>
          <w:rFonts w:ascii="Calibri" w:hAnsi="Calibri"/>
          <w:b/>
          <w:color w:val="3B4259"/>
          <w:sz w:val="28"/>
        </w:rPr>
        <w:t>8.5 Sanmina (SANM) — FQ3 2026 Earnings Call, July 27, 2026</w:t>
      </w:r>
    </w:p>
    <w:p>
      <w:r>
        <w:rPr>
          <w:rFonts w:ascii="Calibri" w:hAnsi="Calibri"/>
          <w:b/>
          <w:color w:val="525866"/>
          <w:sz w:val="22"/>
        </w:rPr>
        <w:t xml:space="preserve">Relevance to APH: </w:t>
      </w:r>
      <w:r>
        <w:rPr>
          <w:rFonts w:ascii="Calibri" w:hAnsi="Calibri"/>
          <w:color w:val="525866"/>
          <w:sz w:val="22"/>
        </w:rPr>
        <w:t>SANM is an EMS provider with growing AI infrastructure exposure (accelerated compute, optical systems, high-tech PCBs). SANM’s forward commentary provides a read-through on AI demand durability and component supply chain conditions.</w:t>
      </w:r>
    </w:p>
    <w:p>
      <w:pPr>
        <w:pStyle w:val="Heading3"/>
      </w:pPr>
      <w:r>
        <w:rPr>
          <w:rFonts w:ascii="Calibri" w:hAnsi="Calibri"/>
          <w:b/>
          <w:color w:val="3B4259"/>
          <w:sz w:val="24"/>
        </w:rPr>
        <w:t>AI / Datacenter Demand (Forward-Looking)</w:t>
      </w:r>
    </w:p>
    <w:p>
      <w:r>
        <w:rPr>
          <w:rFonts w:ascii="Calibri" w:hAnsi="Calibri"/>
          <w:color w:val="525866"/>
          <w:sz w:val="22"/>
        </w:rPr>
        <w:t>SANM management stated: “AI is driving growth in this entire end market. Bookings continue to be strong and we’re adding new customers. Strong pipeline of new projects for fiscal year 2027–28 is very exciting.” SANM secured orders for next-generation accelerated compute from both hyperscale and OEM customers, with revenue expected to “begin contributing in Q1 FY2027 and ramp over time.” CEO Yuri Sola stated: “We are very confident in shipping $16+ billion in fiscal year 27,” with “higher revenue growth in the second half of FY27 and that growth should continue into FY28.”</w:t>
      </w:r>
    </w:p>
    <w:p>
      <w:r>
        <w:rPr>
          <w:rFonts w:ascii="Calibri" w:hAnsi="Calibri"/>
          <w:b/>
          <w:color w:val="525866"/>
          <w:sz w:val="22"/>
        </w:rPr>
        <w:t xml:space="preserve">APH Read-Through: </w:t>
      </w:r>
      <w:r>
        <w:rPr>
          <w:rFonts w:ascii="Calibri" w:hAnsi="Calibri"/>
          <w:color w:val="525866"/>
          <w:sz w:val="22"/>
        </w:rPr>
        <w:t>Strongly positive. SANM’s strong bookings, new customer wins, and confident FY27 revenue guidance ($16B+) confirm that AI infrastructure demand is sustaining and broadening. SANM’s capacity investments (metal fabrication for AI system racks, high-tech PCBs, liquid cooling) imply sustained component demand from APH’s customer base.</w:t>
      </w:r>
    </w:p>
    <w:p>
      <w:pPr>
        <w:pStyle w:val="Heading3"/>
      </w:pPr>
      <w:r>
        <w:rPr>
          <w:rFonts w:ascii="Calibri" w:hAnsi="Calibri"/>
          <w:b/>
          <w:color w:val="3B4259"/>
          <w:sz w:val="24"/>
        </w:rPr>
        <w:t>Order Visibility (Forward-Looking)</w:t>
      </w:r>
    </w:p>
    <w:p>
      <w:r>
        <w:rPr>
          <w:rFonts w:ascii="Calibri" w:hAnsi="Calibri"/>
          <w:color w:val="525866"/>
          <w:sz w:val="22"/>
        </w:rPr>
        <w:t>SANM reported a book-to-bill “better than 1.1” in FQ3, with management stating: “We’re going to have plenty of business for next year.” The company is “getting close to locking down production schedules with customers” for FY2027 accelerated compute programs.</w:t>
      </w:r>
    </w:p>
    <w:p>
      <w:r>
        <w:rPr>
          <w:rFonts w:ascii="Calibri" w:hAnsi="Calibri"/>
          <w:b/>
          <w:color w:val="525866"/>
          <w:sz w:val="22"/>
        </w:rPr>
        <w:t xml:space="preserve">APH Read-Through: </w:t>
      </w:r>
      <w:r>
        <w:rPr>
          <w:rFonts w:ascii="Calibri" w:hAnsi="Calibri"/>
          <w:color w:val="525866"/>
          <w:sz w:val="22"/>
        </w:rPr>
        <w:t>Positive. SANM’s 1.1x book-to-bill and strong FY27 pipeline visibility are consistent with APH’s own record 1.24x book-to-bill in Q1 2026. Both companies are seeing customers commit to multi-quarter capacity, supporting forward revenue visibility.</w:t>
      </w:r>
    </w:p>
    <w:p>
      <w:pPr>
        <w:pStyle w:val="Heading3"/>
      </w:pPr>
      <w:r>
        <w:rPr>
          <w:rFonts w:ascii="Calibri" w:hAnsi="Calibri"/>
          <w:b/>
          <w:color w:val="3B4259"/>
          <w:sz w:val="24"/>
        </w:rPr>
        <w:t>Defense &amp; Industrial (Forward-Looking)</w:t>
      </w:r>
    </w:p>
    <w:p>
      <w:r>
        <w:rPr>
          <w:rFonts w:ascii="Calibri" w:hAnsi="Calibri"/>
          <w:color w:val="525866"/>
          <w:sz w:val="22"/>
        </w:rPr>
        <w:t>SANM expects “the growth in traditional USA defense and aerospace business to continue” with “strong demand in FY27, FY28 and beyond.” The company is “expanding its customer base in the satellite market.” Industrial and energy growth is expected to “accelerate in FY27,” with focus on power generation/distribution, grid-scale transformers, and semiconductor capital equipment.</w:t>
      </w:r>
    </w:p>
    <w:p>
      <w:r>
        <w:rPr>
          <w:rFonts w:ascii="Calibri" w:hAnsi="Calibri"/>
          <w:b/>
          <w:color w:val="525866"/>
          <w:sz w:val="22"/>
        </w:rPr>
        <w:t xml:space="preserve">APH Read-Through: </w:t>
      </w:r>
      <w:r>
        <w:rPr>
          <w:rFonts w:ascii="Calibri" w:hAnsi="Calibri"/>
          <w:color w:val="525866"/>
          <w:sz w:val="22"/>
        </w:rPr>
        <w:t>Positive. SANM’s defense and industrial growth outlook is consistent with APH’s own guidance for high-single-digit sequential growth in both segments in Q2 2026.</w:t>
      </w:r>
    </w:p>
    <w:p>
      <w:r>
        <w:rPr>
          <w:rFonts w:ascii="Calibri" w:hAnsi="Calibri"/>
          <w:i/>
          <w:color w:val="525866"/>
          <w:sz w:val="22"/>
        </w:rPr>
        <w:t>Source: SANM FQ3 2026 Earnings Call Transcript, July 27, 2026; SANM FQ3 2026 Earnings Release, July 27, 2026.</w:t>
      </w:r>
    </w:p>
    <w:p>
      <w:pPr>
        <w:pStyle w:val="Heading2"/>
      </w:pPr>
      <w:r>
        <w:rPr>
          <w:rFonts w:ascii="Calibri" w:hAnsi="Calibri"/>
          <w:b/>
          <w:color w:val="3B4259"/>
          <w:sz w:val="28"/>
        </w:rPr>
        <w:t>8.6 Vicor (VICR) — Q2 2026 Earnings Call, July 21, 2026</w:t>
      </w:r>
    </w:p>
    <w:p>
      <w:r>
        <w:rPr>
          <w:rFonts w:ascii="Calibri" w:hAnsi="Calibri"/>
          <w:b/>
          <w:color w:val="525866"/>
          <w:sz w:val="22"/>
        </w:rPr>
        <w:t xml:space="preserve">Relevance to APH: </w:t>
      </w:r>
      <w:r>
        <w:rPr>
          <w:rFonts w:ascii="Calibri" w:hAnsi="Calibri"/>
          <w:color w:val="525866"/>
          <w:sz w:val="22"/>
        </w:rPr>
        <w:t>VICR is a power component specialist focused on high-performance compute, AI data centers, and vertical power delivery (VPD). VICR’s forward commentary provides a read-through on AI power architecture trends that are directly relevant to APH’s power interconnect business.</w:t>
      </w:r>
    </w:p>
    <w:p>
      <w:pPr>
        <w:pStyle w:val="Heading3"/>
      </w:pPr>
      <w:r>
        <w:rPr>
          <w:rFonts w:ascii="Calibri" w:hAnsi="Calibri"/>
          <w:b/>
          <w:color w:val="3B4259"/>
          <w:sz w:val="24"/>
        </w:rPr>
        <w:t>AI / Datacenter Power Demand (Forward-Looking)</w:t>
      </w:r>
    </w:p>
    <w:p>
      <w:r>
        <w:rPr>
          <w:rFonts w:ascii="Calibri" w:hAnsi="Calibri"/>
          <w:color w:val="525866"/>
          <w:sz w:val="22"/>
        </w:rPr>
        <w:t>VICR management guided for “nearly 10% increase in Q3 revenue” and “over $600M in 2026 revenue.” The company is “planning for double-digit sequential increases in product revenue for advanced products.” VICR updated its long-term financial objectives to “$2.5B in revenues at 70% gross margins and 40% operating income.” On vertical power delivery (VPD) for AI data centers: “Hyperscalers and OEMs need vertical power delivery to meet compute density requirements and AI data center performance. The market opportunity is growing rapidly.” VICR’s second-generation VPD is “way ahead of all generation one competitive solutions.” Design wins for second-generation VPD are expected to “ramp in the second half of FY27.”</w:t>
      </w:r>
    </w:p>
    <w:p>
      <w:r>
        <w:rPr>
          <w:rFonts w:ascii="Calibri" w:hAnsi="Calibri"/>
          <w:b/>
          <w:color w:val="525866"/>
          <w:sz w:val="22"/>
        </w:rPr>
        <w:t xml:space="preserve">APH Read-Through: </w:t>
      </w:r>
      <w:r>
        <w:rPr>
          <w:rFonts w:ascii="Calibri" w:hAnsi="Calibri"/>
          <w:color w:val="525866"/>
          <w:sz w:val="22"/>
        </w:rPr>
        <w:t>Positive. VICR’s strong near-term revenue guidance and ambitious long-term growth targets confirm robust demand in the high-performance electronics sector. The VPD opportunity — requiring specialized power connectors, bus bars, and cable assemblies — is directly relevant to APH’s power interconnect business. VICR’s statement that “signal integrity becomes more and more of a critical differentiator” underscores the value of APH’s specialized interconnect solutions.</w:t>
      </w:r>
    </w:p>
    <w:p>
      <w:pPr>
        <w:pStyle w:val="Heading3"/>
      </w:pPr>
      <w:r>
        <w:rPr>
          <w:rFonts w:ascii="Calibri" w:hAnsi="Calibri"/>
          <w:b/>
          <w:color w:val="3B4259"/>
          <w:sz w:val="24"/>
        </w:rPr>
        <w:t>Order Visibility &amp; Lead Times (Forward-Looking)</w:t>
      </w:r>
    </w:p>
    <w:p>
      <w:r>
        <w:rPr>
          <w:rFonts w:ascii="Calibri" w:hAnsi="Calibri"/>
          <w:color w:val="525866"/>
          <w:sz w:val="22"/>
        </w:rPr>
        <w:t>VICR reported that its one-year backlog increased 26% from the prior quarter to $379.7M. Management stated: “I don’t see any weakness at all going forward. Aerospace and defense is strong. Industrial is very strong. High performance compute is strong.” Lead times have “stretched out a little bit,” reflecting “the realities of demand exceeding capacity in a number of key areas, not just ours.”</w:t>
      </w:r>
    </w:p>
    <w:p>
      <w:r>
        <w:rPr>
          <w:rFonts w:ascii="Calibri" w:hAnsi="Calibri"/>
          <w:b/>
          <w:color w:val="525866"/>
          <w:sz w:val="22"/>
        </w:rPr>
        <w:t xml:space="preserve">APH Read-Through: </w:t>
      </w:r>
      <w:r>
        <w:rPr>
          <w:rFonts w:ascii="Calibri" w:hAnsi="Calibri"/>
          <w:color w:val="525866"/>
          <w:sz w:val="22"/>
        </w:rPr>
        <w:t>Positive. VICR’s 26% sequential backlog increase and stretched lead times across the industry confirm that demand is outpacing supply in key high-performance electronics segments. This is consistent with APH’s record orders and book-to-bill, and suggests the demand environment remains robust heading into Q2 2026.</w:t>
      </w:r>
    </w:p>
    <w:p>
      <w:r>
        <w:rPr>
          <w:rFonts w:ascii="Calibri" w:hAnsi="Calibri"/>
          <w:i/>
          <w:color w:val="525866"/>
          <w:sz w:val="22"/>
        </w:rPr>
        <w:t>Source: VICR Q2 2026 Earnings Call Transcript, July 21, 2026; VICR Q2 2026 Earnings Release, July 21, 2026.</w:t>
      </w:r>
    </w:p>
    <w:p>
      <w:pPr>
        <w:pStyle w:val="Heading2"/>
      </w:pPr>
      <w:r>
        <w:rPr>
          <w:rFonts w:ascii="Calibri" w:hAnsi="Calibri"/>
          <w:b/>
          <w:color w:val="3B4259"/>
          <w:sz w:val="28"/>
        </w:rPr>
        <w:t>8.7 Flex (FLEX) — Bank of America Global Technology Conference, June 2, 2026</w:t>
      </w:r>
    </w:p>
    <w:p>
      <w:r>
        <w:rPr>
          <w:rFonts w:ascii="Calibri" w:hAnsi="Calibri"/>
          <w:b/>
          <w:color w:val="525866"/>
          <w:sz w:val="22"/>
        </w:rPr>
        <w:t xml:space="preserve">Relevance to APH: </w:t>
      </w:r>
      <w:r>
        <w:rPr>
          <w:rFonts w:ascii="Calibri" w:hAnsi="Calibri"/>
          <w:color w:val="525866"/>
          <w:sz w:val="22"/>
        </w:rPr>
        <w:t>FLEX is a major EMS provider with significant AI infrastructure exposure through its SpinCo (AI infrastructure, power, cooling) and RemainCo (networking, energy infrastructure, semiconductor capital equipment). FLEX’s conference commentary provides forward-looking color on AI demand and capacity investment trends.</w:t>
      </w:r>
    </w:p>
    <w:p>
      <w:pPr>
        <w:pStyle w:val="Heading3"/>
      </w:pPr>
      <w:r>
        <w:rPr>
          <w:rFonts w:ascii="Calibri" w:hAnsi="Calibri"/>
          <w:b/>
          <w:color w:val="3B4259"/>
          <w:sz w:val="24"/>
        </w:rPr>
        <w:t>AI / Datacenter Demand (Forward-Looking)</w:t>
      </w:r>
    </w:p>
    <w:p>
      <w:r>
        <w:rPr>
          <w:rFonts w:ascii="Calibri" w:hAnsi="Calibri"/>
          <w:color w:val="525866"/>
          <w:sz w:val="22"/>
        </w:rPr>
        <w:t>FLEX CEO Revathi Advaithi stated that SpinCo’s revenue of $6.7B in FY2025 is projected to “grow at 70% at the midpoint this year and then at 80% next year,” primarily driven by AI infrastructure investment. She cited “a $2 trillion of backlog that these hyperscalers have” and stated that “the next 3 years in terms of compute infrastructure seems like a solid spend.” FLEX is “actively investing in extra capacity,” including a new 50-megawatt facility in Georgetown, Texas. SpinCo’s FY2027 is “90% booked out” and FY2028 is “70% booked out.”</w:t>
      </w:r>
    </w:p>
    <w:p>
      <w:r>
        <w:rPr>
          <w:rFonts w:ascii="Calibri" w:hAnsi="Calibri"/>
          <w:b/>
          <w:color w:val="525866"/>
          <w:sz w:val="22"/>
        </w:rPr>
        <w:t xml:space="preserve">APH Read-Through: </w:t>
      </w:r>
      <w:r>
        <w:rPr>
          <w:rFonts w:ascii="Calibri" w:hAnsi="Calibri"/>
          <w:color w:val="525866"/>
          <w:sz w:val="22"/>
        </w:rPr>
        <w:t>Highly positive. FLEX’s 90% booking visibility for FY2027 and the $2T hyperscaler backlog narrative provide exceptional forward demand visibility for the AI infrastructure supply chain. FLEX’s capacity investments in power and cooling infrastructure directly imply sustained demand for APH’s power distribution, bus bar, and liquid cooling interconnect products.</w:t>
      </w:r>
    </w:p>
    <w:p>
      <w:pPr>
        <w:pStyle w:val="Heading3"/>
      </w:pPr>
      <w:r>
        <w:rPr>
          <w:rFonts w:ascii="Calibri" w:hAnsi="Calibri"/>
          <w:b/>
          <w:color w:val="3B4259"/>
          <w:sz w:val="24"/>
        </w:rPr>
        <w:t>Industrial / Auto (Forward-Looking)</w:t>
      </w:r>
    </w:p>
    <w:p>
      <w:r>
        <w:rPr>
          <w:rFonts w:ascii="Calibri" w:hAnsi="Calibri"/>
          <w:color w:val="525866"/>
          <w:sz w:val="22"/>
        </w:rPr>
        <w:t>FLEX President Michael Hartung characterized industrial and healthcare as “high-value markets that have been and will continue to grow, no recovery necessary.” Automotive is described as a “stabilization period” where “not going backwards is actually going forward.”</w:t>
      </w:r>
    </w:p>
    <w:p>
      <w:r>
        <w:rPr>
          <w:rFonts w:ascii="Calibri" w:hAnsi="Calibri"/>
          <w:b/>
          <w:color w:val="525866"/>
          <w:sz w:val="22"/>
        </w:rPr>
        <w:t xml:space="preserve">APH Read-Through: </w:t>
      </w:r>
      <w:r>
        <w:rPr>
          <w:rFonts w:ascii="Calibri" w:hAnsi="Calibri"/>
          <w:color w:val="525866"/>
          <w:sz w:val="22"/>
        </w:rPr>
        <w:t>Consistent with APH’s own commentary. Industrial growth without a recovery narrative aligns with APH’s broad-based industrial strength in Q1 2026. The automotive stabilization framing is consistent with APH’s guidance for modest sequential automotive growth in Q2.</w:t>
      </w:r>
    </w:p>
    <w:p>
      <w:r>
        <w:rPr>
          <w:rFonts w:ascii="Calibri" w:hAnsi="Calibri"/>
          <w:i/>
          <w:color w:val="525866"/>
          <w:sz w:val="22"/>
        </w:rPr>
        <w:t>Source: FLEX Bank of America Global Technology Conference Transcript, June 2, 2026.</w:t>
      </w:r>
    </w:p>
    <w:p>
      <w:pPr>
        <w:pStyle w:val="Heading2"/>
      </w:pPr>
      <w:r>
        <w:rPr>
          <w:rFonts w:ascii="Calibri" w:hAnsi="Calibri"/>
          <w:b/>
          <w:color w:val="3B4259"/>
          <w:sz w:val="28"/>
        </w:rPr>
        <w:t>8.8 Peer Read-Through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AI/Datacenter</w:t>
            </w:r>
          </w:p>
        </w:tc>
        <w:tc>
          <w:tcPr>
            <w:tcW w:type="dxa" w:w="1234"/>
            <w:shd w:val="clear" w:color="auto" w:fill="3B4259"/>
          </w:tcPr>
          <w:p>
            <w:r>
              <w:rPr>
                <w:rFonts w:ascii="Calibri" w:hAnsi="Calibri"/>
                <w:b/>
                <w:color w:val="FFFFFF"/>
                <w:sz w:val="22"/>
              </w:rPr>
              <w:t>Order Visibility</w:t>
            </w:r>
          </w:p>
        </w:tc>
        <w:tc>
          <w:tcPr>
            <w:tcW w:type="dxa" w:w="1234"/>
            <w:shd w:val="clear" w:color="auto" w:fill="3B4259"/>
          </w:tcPr>
          <w:p>
            <w:r>
              <w:rPr>
                <w:rFonts w:ascii="Calibri" w:hAnsi="Calibri"/>
                <w:b/>
                <w:color w:val="FFFFFF"/>
                <w:sz w:val="22"/>
              </w:rPr>
              <w:t>Industrial/Auto</w:t>
            </w:r>
          </w:p>
        </w:tc>
        <w:tc>
          <w:tcPr>
            <w:tcW w:type="dxa" w:w="1234"/>
            <w:shd w:val="clear" w:color="auto" w:fill="3B4259"/>
          </w:tcPr>
          <w:p>
            <w:r>
              <w:rPr>
                <w:rFonts w:ascii="Calibri" w:hAnsi="Calibri"/>
                <w:b/>
                <w:color w:val="FFFFFF"/>
                <w:sz w:val="22"/>
              </w:rPr>
              <w:t>Margins</w:t>
            </w:r>
          </w:p>
        </w:tc>
        <w:tc>
          <w:tcPr>
            <w:tcW w:type="dxa" w:w="1234"/>
            <w:shd w:val="clear" w:color="auto" w:fill="3B4259"/>
          </w:tcPr>
          <w:p>
            <w:r>
              <w:rPr>
                <w:rFonts w:ascii="Calibri" w:hAnsi="Calibri"/>
                <w:b/>
                <w:color w:val="FFFFFF"/>
                <w:sz w:val="22"/>
              </w:rPr>
              <w:t>Net APH Read-Through</w:t>
            </w:r>
          </w:p>
        </w:tc>
      </w:tr>
      <w:tr>
        <w:tc>
          <w:tcPr>
            <w:tcW w:type="dxa" w:w="1234"/>
          </w:tcPr>
          <w:p>
            <w:r>
              <w:rPr>
                <w:rFonts w:ascii="Calibri" w:hAnsi="Calibri"/>
                <w:sz w:val="22"/>
              </w:rPr>
              <w:t>TEL</w:t>
            </w:r>
          </w:p>
        </w:tc>
        <w:tc>
          <w:tcPr>
            <w:tcW w:type="dxa" w:w="1234"/>
          </w:tcPr>
          <w:p>
            <w:r>
              <w:rPr>
                <w:rFonts w:ascii="Calibri" w:hAnsi="Calibri"/>
                <w:sz w:val="22"/>
              </w:rPr>
              <w:t>Jul 22</w:t>
            </w:r>
          </w:p>
        </w:tc>
        <w:tc>
          <w:tcPr>
            <w:tcW w:type="dxa" w:w="1234"/>
          </w:tcPr>
          <w:p>
            <w:r>
              <w:rPr>
                <w:rFonts w:ascii="Calibri" w:hAnsi="Calibri"/>
                <w:b/>
                <w:color w:val="30A46C"/>
                <w:sz w:val="22"/>
              </w:rPr>
              <w:t>Strongly positive; DDN orders +70% YTD; AI target “shifted left”</w:t>
            </w:r>
          </w:p>
        </w:tc>
        <w:tc>
          <w:tcPr>
            <w:tcW w:type="dxa" w:w="1234"/>
          </w:tcPr>
          <w:p>
            <w:r>
              <w:rPr>
                <w:rFonts w:ascii="Calibri" w:hAnsi="Calibri"/>
                <w:b/>
                <w:color w:val="30A46C"/>
                <w:sz w:val="22"/>
              </w:rPr>
              <w:t>Record orders; B2B 1.1x; record backlog</w:t>
            </w:r>
          </w:p>
        </w:tc>
        <w:tc>
          <w:tcPr>
            <w:tcW w:type="dxa" w:w="1234"/>
          </w:tcPr>
          <w:p>
            <w:r>
              <w:rPr>
                <w:rFonts w:ascii="Calibri" w:hAnsi="Calibri"/>
                <w:b/>
                <w:color w:val="30A46C"/>
                <w:sz w:val="22"/>
              </w:rPr>
              <w:t>Industrial +36% orders; auto content outperformance; defense accelerating</w:t>
            </w:r>
          </w:p>
        </w:tc>
        <w:tc>
          <w:tcPr>
            <w:tcW w:type="dxa" w:w="1234"/>
          </w:tcPr>
          <w:p>
            <w:r>
              <w:rPr>
                <w:rFonts w:ascii="Calibri" w:hAnsi="Calibri"/>
                <w:b/>
                <w:color w:val="30A46C"/>
                <w:sz w:val="22"/>
              </w:rPr>
              <w:t>30%+ industrial flow-through; sustained expansion</w:t>
            </w:r>
          </w:p>
        </w:tc>
        <w:tc>
          <w:tcPr>
            <w:tcW w:type="dxa" w:w="1234"/>
          </w:tcPr>
          <w:p>
            <w:r>
              <w:rPr>
                <w:rFonts w:ascii="Calibri" w:hAnsi="Calibri"/>
                <w:b/>
                <w:color w:val="30A46C"/>
                <w:sz w:val="22"/>
              </w:rPr>
              <w:t>Strongly Positive</w:t>
            </w:r>
          </w:p>
        </w:tc>
      </w:tr>
      <w:tr>
        <w:tc>
          <w:tcPr>
            <w:tcW w:type="dxa" w:w="1234"/>
          </w:tcPr>
          <w:p>
            <w:r>
              <w:rPr>
                <w:rFonts w:ascii="Calibri" w:hAnsi="Calibri"/>
                <w:sz w:val="22"/>
              </w:rPr>
              <w:t>CLS</w:t>
            </w:r>
          </w:p>
        </w:tc>
        <w:tc>
          <w:tcPr>
            <w:tcW w:type="dxa" w:w="1234"/>
          </w:tcPr>
          <w:p>
            <w:r>
              <w:rPr>
                <w:rFonts w:ascii="Calibri" w:hAnsi="Calibri"/>
                <w:sz w:val="22"/>
              </w:rPr>
              <w:t>Jul 27–28</w:t>
            </w:r>
          </w:p>
        </w:tc>
        <w:tc>
          <w:tcPr>
            <w:tcW w:type="dxa" w:w="1234"/>
          </w:tcPr>
          <w:p>
            <w:r>
              <w:rPr>
                <w:rFonts w:ascii="Calibri" w:hAnsi="Calibri"/>
                <w:b/>
                <w:color w:val="30A46C"/>
                <w:sz w:val="22"/>
              </w:rPr>
              <w:t>Blowout; FY27 guide implies $34B+ vs. $27.6B Street</w:t>
            </w:r>
          </w:p>
        </w:tc>
        <w:tc>
          <w:tcPr>
            <w:tcW w:type="dxa" w:w="1234"/>
          </w:tcPr>
          <w:p>
            <w:r>
              <w:rPr>
                <w:rFonts w:ascii="Calibri" w:hAnsi="Calibri"/>
                <w:b/>
                <w:color w:val="30A46C"/>
                <w:sz w:val="22"/>
              </w:rPr>
              <w:t>FY guidance raised massively</w:t>
            </w:r>
          </w:p>
        </w:tc>
        <w:tc>
          <w:tcPr>
            <w:tcW w:type="dxa" w:w="1234"/>
          </w:tcPr>
          <w:p>
            <w:r>
              <w:rPr>
                <w:rFonts w:ascii="Calibri" w:hAnsi="Calibri"/>
                <w:sz w:val="22"/>
              </w:rPr>
              <w:t>N/A (AI-focused)</w:t>
            </w:r>
          </w:p>
        </w:tc>
        <w:tc>
          <w:tcPr>
            <w:tcW w:type="dxa" w:w="1234"/>
          </w:tcPr>
          <w:p>
            <w:r>
              <w:rPr>
                <w:rFonts w:ascii="Calibri" w:hAnsi="Calibri"/>
                <w:b/>
                <w:color w:val="30A46C"/>
                <w:sz w:val="22"/>
              </w:rPr>
              <w:t>Margins beat at 8.2%</w:t>
            </w:r>
          </w:p>
        </w:tc>
        <w:tc>
          <w:tcPr>
            <w:tcW w:type="dxa" w:w="1234"/>
          </w:tcPr>
          <w:p>
            <w:r>
              <w:rPr>
                <w:rFonts w:ascii="Calibri" w:hAnsi="Calibri"/>
                <w:b/>
                <w:color w:val="30A46C"/>
                <w:sz w:val="22"/>
              </w:rPr>
              <w:t>Strongly Positive</w:t>
            </w:r>
          </w:p>
        </w:tc>
      </w:tr>
      <w:tr>
        <w:tc>
          <w:tcPr>
            <w:tcW w:type="dxa" w:w="1234"/>
          </w:tcPr>
          <w:p>
            <w:r>
              <w:rPr>
                <w:rFonts w:ascii="Calibri" w:hAnsi="Calibri"/>
                <w:sz w:val="22"/>
              </w:rPr>
              <w:t>GLW</w:t>
            </w:r>
          </w:p>
        </w:tc>
        <w:tc>
          <w:tcPr>
            <w:tcW w:type="dxa" w:w="1234"/>
          </w:tcPr>
          <w:p>
            <w:r>
              <w:rPr>
                <w:rFonts w:ascii="Calibri" w:hAnsi="Calibri"/>
                <w:sz w:val="22"/>
              </w:rPr>
              <w:t>Jul 28</w:t>
            </w:r>
          </w:p>
        </w:tc>
        <w:tc>
          <w:tcPr>
            <w:tcW w:type="dxa" w:w="1234"/>
          </w:tcPr>
          <w:p>
            <w:r>
              <w:rPr>
                <w:rFonts w:ascii="Calibri" w:hAnsi="Calibri"/>
                <w:b/>
                <w:color w:val="E5484D"/>
                <w:sz w:val="22"/>
              </w:rPr>
              <w:t>Q3 guide slightly below expectations; orders accelerating but stock -19%</w:t>
            </w:r>
          </w:p>
        </w:tc>
        <w:tc>
          <w:tcPr>
            <w:tcW w:type="dxa" w:w="1234"/>
          </w:tcPr>
          <w:p>
            <w:r>
              <w:rPr>
                <w:rFonts w:ascii="Calibri" w:hAnsi="Calibri"/>
                <w:b/>
                <w:color w:val="30A46C"/>
                <w:sz w:val="22"/>
              </w:rPr>
              <w:t>Orders accelerating; long-term targets intact</w:t>
            </w:r>
          </w:p>
        </w:tc>
        <w:tc>
          <w:tcPr>
            <w:tcW w:type="dxa" w:w="1234"/>
          </w:tcPr>
          <w:p>
            <w:r>
              <w:rPr>
                <w:rFonts w:ascii="Calibri" w:hAnsi="Calibri"/>
                <w:b/>
                <w:color w:val="30A46C"/>
                <w:sz w:val="22"/>
              </w:rPr>
              <w:t>Auto +2% vs. market -2%; solar +90%</w:t>
            </w:r>
          </w:p>
        </w:tc>
        <w:tc>
          <w:tcPr>
            <w:tcW w:type="dxa" w:w="1234"/>
          </w:tcPr>
          <w:p>
            <w:r>
              <w:rPr>
                <w:rFonts w:ascii="Calibri" w:hAnsi="Calibri"/>
                <w:b/>
                <w:color w:val="30A46C"/>
                <w:sz w:val="22"/>
              </w:rPr>
              <w:t>Optical margins &gt;20%; expanding</w:t>
            </w:r>
          </w:p>
        </w:tc>
        <w:tc>
          <w:tcPr>
            <w:tcW w:type="dxa" w:w="1234"/>
          </w:tcPr>
          <w:p>
            <w:r>
              <w:rPr>
                <w:rFonts w:ascii="Calibri" w:hAnsi="Calibri"/>
                <w:b/>
                <w:color w:val="E5484D"/>
                <w:sz w:val="22"/>
              </w:rPr>
              <w:t>Mixed (near-term sentiment risk)</w:t>
            </w:r>
          </w:p>
        </w:tc>
      </w:tr>
      <w:tr>
        <w:tc>
          <w:tcPr>
            <w:tcW w:type="dxa" w:w="1234"/>
          </w:tcPr>
          <w:p>
            <w:r>
              <w:rPr>
                <w:rFonts w:ascii="Calibri" w:hAnsi="Calibri"/>
                <w:sz w:val="22"/>
              </w:rPr>
              <w:t>JBL</w:t>
            </w:r>
          </w:p>
        </w:tc>
        <w:tc>
          <w:tcPr>
            <w:tcW w:type="dxa" w:w="1234"/>
          </w:tcPr>
          <w:p>
            <w:r>
              <w:rPr>
                <w:rFonts w:ascii="Calibri" w:hAnsi="Calibri"/>
                <w:sz w:val="22"/>
              </w:rPr>
              <w:t>Jun 17</w:t>
            </w:r>
          </w:p>
        </w:tc>
        <w:tc>
          <w:tcPr>
            <w:tcW w:type="dxa" w:w="1234"/>
          </w:tcPr>
          <w:p>
            <w:r>
              <w:rPr>
                <w:rFonts w:ascii="Calibri" w:hAnsi="Calibri"/>
                <w:b/>
                <w:color w:val="30A46C"/>
                <w:sz w:val="22"/>
              </w:rPr>
              <w:t>AI revenue raised to $13.6B; 3rd hyperscaler win; FY27 growth similar to FY26</w:t>
            </w:r>
          </w:p>
        </w:tc>
        <w:tc>
          <w:tcPr>
            <w:tcW w:type="dxa" w:w="1234"/>
          </w:tcPr>
          <w:p>
            <w:r>
              <w:rPr>
                <w:rFonts w:ascii="Calibri" w:hAnsi="Calibri"/>
                <w:b/>
                <w:color w:val="30A46C"/>
                <w:sz w:val="22"/>
              </w:rPr>
              <w:t>Capacity +10% globally; disciplined to visible demand</w:t>
            </w:r>
          </w:p>
        </w:tc>
        <w:tc>
          <w:tcPr>
            <w:tcW w:type="dxa" w:w="1234"/>
          </w:tcPr>
          <w:p>
            <w:r>
              <w:rPr>
                <w:rFonts w:ascii="Calibri" w:hAnsi="Calibri"/>
                <w:b/>
                <w:color w:val="30A46C"/>
                <w:sz w:val="22"/>
              </w:rPr>
              <w:t>Auto raised to $4.4B; cautious on volatility; renewables improving</w:t>
            </w:r>
          </w:p>
        </w:tc>
        <w:tc>
          <w:tcPr>
            <w:tcW w:type="dxa" w:w="1234"/>
          </w:tcPr>
          <w:p>
            <w:r>
              <w:rPr>
                <w:rFonts w:ascii="Calibri" w:hAnsi="Calibri"/>
                <w:b/>
                <w:color w:val="30A46C"/>
                <w:sz w:val="22"/>
              </w:rPr>
              <w:t>FY27 6%+ margins; higher-value mix driving accretion</w:t>
            </w:r>
          </w:p>
        </w:tc>
        <w:tc>
          <w:tcPr>
            <w:tcW w:type="dxa" w:w="1234"/>
          </w:tcPr>
          <w:p>
            <w:r>
              <w:rPr>
                <w:rFonts w:ascii="Calibri" w:hAnsi="Calibri"/>
                <w:b/>
                <w:color w:val="30A46C"/>
                <w:sz w:val="22"/>
              </w:rPr>
              <w:t>Positive</w:t>
            </w:r>
          </w:p>
        </w:tc>
      </w:tr>
      <w:tr>
        <w:tc>
          <w:tcPr>
            <w:tcW w:type="dxa" w:w="1234"/>
          </w:tcPr>
          <w:p>
            <w:r>
              <w:rPr>
                <w:rFonts w:ascii="Calibri" w:hAnsi="Calibri"/>
                <w:sz w:val="22"/>
              </w:rPr>
              <w:t>SANM</w:t>
            </w:r>
          </w:p>
        </w:tc>
        <w:tc>
          <w:tcPr>
            <w:tcW w:type="dxa" w:w="1234"/>
          </w:tcPr>
          <w:p>
            <w:r>
              <w:rPr>
                <w:rFonts w:ascii="Calibri" w:hAnsi="Calibri"/>
                <w:sz w:val="22"/>
              </w:rPr>
              <w:t>Jul 27</w:t>
            </w:r>
          </w:p>
        </w:tc>
        <w:tc>
          <w:tcPr>
            <w:tcW w:type="dxa" w:w="1234"/>
          </w:tcPr>
          <w:p>
            <w:r>
              <w:rPr>
                <w:rFonts w:ascii="Calibri" w:hAnsi="Calibri"/>
                <w:b/>
                <w:color w:val="30A46C"/>
                <w:sz w:val="22"/>
              </w:rPr>
              <w:t>FY27 $16B+ confident; AI driving entire end market; strong FY27–28 pipeline</w:t>
            </w:r>
          </w:p>
        </w:tc>
        <w:tc>
          <w:tcPr>
            <w:tcW w:type="dxa" w:w="1234"/>
          </w:tcPr>
          <w:p>
            <w:r>
              <w:rPr>
                <w:rFonts w:ascii="Calibri" w:hAnsi="Calibri"/>
                <w:b/>
                <w:color w:val="30A46C"/>
                <w:sz w:val="22"/>
              </w:rPr>
              <w:t>B2B &gt;1.1x; FY27 production schedules being locked</w:t>
            </w:r>
          </w:p>
        </w:tc>
        <w:tc>
          <w:tcPr>
            <w:tcW w:type="dxa" w:w="1234"/>
          </w:tcPr>
          <w:p>
            <w:r>
              <w:rPr>
                <w:rFonts w:ascii="Calibri" w:hAnsi="Calibri"/>
                <w:b/>
                <w:color w:val="30A46C"/>
                <w:sz w:val="22"/>
              </w:rPr>
              <w:t>Defense growth continuing; industrial accelerating in FY27</w:t>
            </w:r>
          </w:p>
        </w:tc>
        <w:tc>
          <w:tcPr>
            <w:tcW w:type="dxa" w:w="1234"/>
          </w:tcPr>
          <w:p>
            <w:r>
              <w:rPr>
                <w:rFonts w:ascii="Calibri" w:hAnsi="Calibri"/>
                <w:b/>
                <w:color w:val="30A46C"/>
                <w:sz w:val="22"/>
              </w:rPr>
              <w:t>7.5–8.0% Q4 guide; CPS segment targeting 15%+</w:t>
            </w:r>
          </w:p>
        </w:tc>
        <w:tc>
          <w:tcPr>
            <w:tcW w:type="dxa" w:w="1234"/>
          </w:tcPr>
          <w:p>
            <w:r>
              <w:rPr>
                <w:rFonts w:ascii="Calibri" w:hAnsi="Calibri"/>
                <w:b/>
                <w:color w:val="30A46C"/>
                <w:sz w:val="22"/>
              </w:rPr>
              <w:t>Strongly Positive</w:t>
            </w:r>
          </w:p>
        </w:tc>
      </w:tr>
      <w:tr>
        <w:tc>
          <w:tcPr>
            <w:tcW w:type="dxa" w:w="1234"/>
          </w:tcPr>
          <w:p>
            <w:r>
              <w:rPr>
                <w:rFonts w:ascii="Calibri" w:hAnsi="Calibri"/>
                <w:sz w:val="22"/>
              </w:rPr>
              <w:t>VICR</w:t>
            </w:r>
          </w:p>
        </w:tc>
        <w:tc>
          <w:tcPr>
            <w:tcW w:type="dxa" w:w="1234"/>
          </w:tcPr>
          <w:p>
            <w:r>
              <w:rPr>
                <w:rFonts w:ascii="Calibri" w:hAnsi="Calibri"/>
                <w:sz w:val="22"/>
              </w:rPr>
              <w:t>Jul 21</w:t>
            </w:r>
          </w:p>
        </w:tc>
        <w:tc>
          <w:tcPr>
            <w:tcW w:type="dxa" w:w="1234"/>
          </w:tcPr>
          <w:p>
            <w:r>
              <w:rPr>
                <w:rFonts w:ascii="Calibri" w:hAnsi="Calibri"/>
                <w:b/>
                <w:color w:val="30A46C"/>
                <w:sz w:val="22"/>
              </w:rPr>
              <w:t>Q3 revenue +10%; VPD ramp in H2 FY27; $2.5B LT target; backlog +26% QoQ</w:t>
            </w:r>
          </w:p>
        </w:tc>
        <w:tc>
          <w:tcPr>
            <w:tcW w:type="dxa" w:w="1234"/>
          </w:tcPr>
          <w:p>
            <w:r>
              <w:rPr>
                <w:rFonts w:ascii="Calibri" w:hAnsi="Calibri"/>
                <w:b/>
                <w:color w:val="30A46C"/>
                <w:sz w:val="22"/>
              </w:rPr>
              <w:t>Backlog +26% QoQ; lead times stretching; no weakness seen</w:t>
            </w:r>
          </w:p>
        </w:tc>
        <w:tc>
          <w:tcPr>
            <w:tcW w:type="dxa" w:w="1234"/>
          </w:tcPr>
          <w:p>
            <w:r>
              <w:rPr>
                <w:rFonts w:ascii="Calibri" w:hAnsi="Calibri"/>
                <w:b/>
                <w:color w:val="30A46C"/>
                <w:sz w:val="22"/>
              </w:rPr>
              <w:t>Industrial very strong; A&amp;D strong; HPC strong</w:t>
            </w:r>
          </w:p>
        </w:tc>
        <w:tc>
          <w:tcPr>
            <w:tcW w:type="dxa" w:w="1234"/>
          </w:tcPr>
          <w:p>
            <w:r>
              <w:rPr>
                <w:rFonts w:ascii="Calibri" w:hAnsi="Calibri"/>
                <w:b/>
                <w:color w:val="30A46C"/>
                <w:sz w:val="22"/>
              </w:rPr>
              <w:t>Margin expansion expected; 70% GM / 40% OI LT targets</w:t>
            </w:r>
          </w:p>
        </w:tc>
        <w:tc>
          <w:tcPr>
            <w:tcW w:type="dxa" w:w="1234"/>
          </w:tcPr>
          <w:p>
            <w:r>
              <w:rPr>
                <w:rFonts w:ascii="Calibri" w:hAnsi="Calibri"/>
                <w:b/>
                <w:color w:val="30A46C"/>
                <w:sz w:val="22"/>
              </w:rPr>
              <w:t>Positive</w:t>
            </w:r>
          </w:p>
        </w:tc>
      </w:tr>
      <w:tr>
        <w:tc>
          <w:tcPr>
            <w:tcW w:type="dxa" w:w="1234"/>
          </w:tcPr>
          <w:p>
            <w:r>
              <w:rPr>
                <w:rFonts w:ascii="Calibri" w:hAnsi="Calibri"/>
                <w:sz w:val="22"/>
              </w:rPr>
              <w:t>FLEX</w:t>
            </w:r>
          </w:p>
        </w:tc>
        <w:tc>
          <w:tcPr>
            <w:tcW w:type="dxa" w:w="1234"/>
          </w:tcPr>
          <w:p>
            <w:r>
              <w:rPr>
                <w:rFonts w:ascii="Calibri" w:hAnsi="Calibri"/>
                <w:sz w:val="22"/>
              </w:rPr>
              <w:t>Jun 2</w:t>
            </w:r>
          </w:p>
        </w:tc>
        <w:tc>
          <w:tcPr>
            <w:tcW w:type="dxa" w:w="1234"/>
          </w:tcPr>
          <w:p>
            <w:r>
              <w:rPr>
                <w:rFonts w:ascii="Calibri" w:hAnsi="Calibri"/>
                <w:b/>
                <w:color w:val="30A46C"/>
                <w:sz w:val="22"/>
              </w:rPr>
              <w:t>SpinCo +70% this year, +80% next; FY27 90% booked; $2T hyperscaler backlog</w:t>
            </w:r>
          </w:p>
        </w:tc>
        <w:tc>
          <w:tcPr>
            <w:tcW w:type="dxa" w:w="1234"/>
          </w:tcPr>
          <w:p>
            <w:r>
              <w:rPr>
                <w:rFonts w:ascii="Calibri" w:hAnsi="Calibri"/>
                <w:b/>
                <w:color w:val="30A46C"/>
                <w:sz w:val="22"/>
              </w:rPr>
              <w:t>FY27 90% booked; FY28 70% booked</w:t>
            </w:r>
          </w:p>
        </w:tc>
        <w:tc>
          <w:tcPr>
            <w:tcW w:type="dxa" w:w="1234"/>
          </w:tcPr>
          <w:p>
            <w:r>
              <w:rPr>
                <w:rFonts w:ascii="Calibri" w:hAnsi="Calibri"/>
                <w:b/>
                <w:color w:val="30A46C"/>
                <w:sz w:val="22"/>
              </w:rPr>
              <w:t>Industrial growing; auto stabilizing</w:t>
            </w:r>
          </w:p>
        </w:tc>
        <w:tc>
          <w:tcPr>
            <w:tcW w:type="dxa" w:w="1234"/>
          </w:tcPr>
          <w:p>
            <w:r>
              <w:rPr>
                <w:rFonts w:ascii="Calibri" w:hAnsi="Calibri"/>
                <w:b/>
                <w:color w:val="30A46C"/>
                <w:sz w:val="22"/>
              </w:rPr>
              <w:t>SpinCo margins improving; RemainCo focused on expansion</w:t>
            </w:r>
          </w:p>
        </w:tc>
        <w:tc>
          <w:tcPr>
            <w:tcW w:type="dxa" w:w="1234"/>
          </w:tcPr>
          <w:p>
            <w:r>
              <w:rPr>
                <w:rFonts w:ascii="Calibri" w:hAnsi="Calibri"/>
                <w:b/>
                <w:color w:val="30A46C"/>
                <w:sz w:val="22"/>
              </w:rPr>
              <w:t>Strongly Positive</w:t>
            </w:r>
          </w:p>
        </w:tc>
      </w:tr>
    </w:tbl>
    <w:p>
      <w:r>
        <w:br w:type="page"/>
      </w:r>
    </w:p>
    <w:p>
      <w:pPr>
        <w:pStyle w:val="Heading1"/>
        <w:pBdr>
          <w:bottom w:val="single" w:sz="4" w:space="1" w:color="FB9120"/>
        </w:pBdr>
      </w:pPr>
      <w:r>
        <w:rPr>
          <w:rFonts w:ascii="Calibri" w:hAnsi="Calibri"/>
          <w:b/>
          <w:color w:val="3B4259"/>
          <w:sz w:val="40"/>
        </w:rPr>
        <w:t>Appendix: Key Data Sources &amp; Citations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Source</w:t>
            </w:r>
          </w:p>
        </w:tc>
        <w:tc>
          <w:tcPr>
            <w:tcW w:type="dxa" w:w="2880"/>
            <w:shd w:val="clear" w:color="auto" w:fill="3B4259"/>
          </w:tcPr>
          <w:p>
            <w:r>
              <w:rPr>
                <w:rFonts w:ascii="Calibri" w:hAnsi="Calibri"/>
                <w:b/>
                <w:color w:val="FFFFFF"/>
                <w:sz w:val="22"/>
              </w:rPr>
              <w:t>Description</w:t>
            </w:r>
          </w:p>
        </w:tc>
        <w:tc>
          <w:tcPr>
            <w:tcW w:type="dxa" w:w="2880"/>
            <w:shd w:val="clear" w:color="auto" w:fill="3B4259"/>
          </w:tcPr>
          <w:p>
            <w:r>
              <w:rPr>
                <w:rFonts w:ascii="Calibri" w:hAnsi="Calibri"/>
                <w:b/>
                <w:color w:val="FFFFFF"/>
                <w:sz w:val="22"/>
              </w:rPr>
              <w:t>Used In</w:t>
            </w:r>
          </w:p>
        </w:tc>
      </w:tr>
      <w:tr>
        <w:tc>
          <w:tcPr>
            <w:tcW w:type="dxa" w:w="2880"/>
          </w:tcPr>
          <w:p>
            <w:r>
              <w:rPr>
                <w:rFonts w:ascii="Calibri" w:hAnsi="Calibri"/>
                <w:sz w:val="22"/>
              </w:rPr>
              <w:t>Visible Alpha Consensus and Actuals Data</w:t>
            </w:r>
          </w:p>
        </w:tc>
        <w:tc>
          <w:tcPr>
            <w:tcW w:type="dxa" w:w="2880"/>
          </w:tcPr>
          <w:p>
            <w:r>
              <w:rPr>
                <w:rFonts w:ascii="Calibri" w:hAnsi="Calibri"/>
                <w:sz w:val="22"/>
              </w:rPr>
              <w:t>Consensus estimates and actuals for APH KPIs (Net Sales, Adj. EPS, Operating Margin, IT Datacom, Book-to-Bill, Orders) across Q3 2024 – FY2027. Point-in-time consensus as of May 6, 2026 (post-Q1 baseline) and July 28, 2026 (current). Revision history table (weekly, May 1 – July 28, 2026).</w:t>
            </w:r>
          </w:p>
        </w:tc>
        <w:tc>
          <w:tcPr>
            <w:tcW w:type="dxa" w:w="2880"/>
          </w:tcPr>
          <w:p>
            <w:r>
              <w:rPr>
                <w:rFonts w:ascii="Calibri" w:hAnsi="Calibri"/>
                <w:sz w:val="22"/>
              </w:rPr>
              <w:t>Sections 2, 3, 4</w:t>
            </w:r>
          </w:p>
        </w:tc>
      </w:tr>
      <w:tr>
        <w:tc>
          <w:tcPr>
            <w:tcW w:type="dxa" w:w="2880"/>
          </w:tcPr>
          <w:p>
            <w:r>
              <w:rPr>
                <w:rFonts w:ascii="Calibri" w:hAnsi="Calibri"/>
                <w:sz w:val="22"/>
              </w:rPr>
              <w:t>APH Q1 2026 Earnings Call Transcript</w:t>
            </w:r>
          </w:p>
        </w:tc>
        <w:tc>
          <w:tcPr>
            <w:tcW w:type="dxa" w:w="2880"/>
          </w:tcPr>
          <w:p>
            <w:r>
              <w:rPr>
                <w:rFonts w:ascii="Calibri" w:hAnsi="Calibri"/>
                <w:sz w:val="22"/>
              </w:rPr>
              <w:t>April 29, 2026. Primary source for Q2 2026 guidance, management tone, IT datacom commentary, CommScope update, China tax matter, tariff strategy, and order/book-to-bill data.</w:t>
            </w:r>
          </w:p>
        </w:tc>
        <w:tc>
          <w:tcPr>
            <w:tcW w:type="dxa" w:w="2880"/>
          </w:tcPr>
          <w:p>
            <w:r>
              <w:rPr>
                <w:rFonts w:ascii="Calibri" w:hAnsi="Calibri"/>
                <w:sz w:val="22"/>
              </w:rPr>
              <w:t>Sections 1, 2, 3, 4</w:t>
            </w:r>
          </w:p>
        </w:tc>
      </w:tr>
      <w:tr>
        <w:tc>
          <w:tcPr>
            <w:tcW w:type="dxa" w:w="2880"/>
          </w:tcPr>
          <w:p>
            <w:r>
              <w:rPr>
                <w:rFonts w:ascii="Calibri" w:hAnsi="Calibri"/>
                <w:sz w:val="22"/>
              </w:rPr>
              <w:t>APH 8-K (May 12, 2026)</w:t>
            </w:r>
          </w:p>
        </w:tc>
        <w:tc>
          <w:tcPr>
            <w:tcW w:type="dxa" w:w="2880"/>
          </w:tcPr>
          <w:p>
            <w:r>
              <w:rPr>
                <w:rFonts w:ascii="Calibri" w:hAnsi="Calibri"/>
                <w:sz w:val="22"/>
              </w:rPr>
              <w:t>Euro senior notes offering (€1.1B equivalent). No guidance revision.</w:t>
            </w:r>
          </w:p>
        </w:tc>
        <w:tc>
          <w:tcPr>
            <w:tcW w:type="dxa" w:w="2880"/>
          </w:tcPr>
          <w:p>
            <w:r>
              <w:rPr>
                <w:rFonts w:ascii="Calibri" w:hAnsi="Calibri"/>
                <w:sz w:val="22"/>
              </w:rPr>
              <w:t>Section 6</w:t>
            </w:r>
          </w:p>
        </w:tc>
      </w:tr>
      <w:tr>
        <w:tc>
          <w:tcPr>
            <w:tcW w:type="dxa" w:w="2880"/>
          </w:tcPr>
          <w:p>
            <w:r>
              <w:rPr>
                <w:rFonts w:ascii="Calibri" w:hAnsi="Calibri"/>
                <w:sz w:val="22"/>
              </w:rPr>
              <w:t>Yahoo Finance / Stock Price Data</w:t>
            </w:r>
          </w:p>
        </w:tc>
        <w:tc>
          <w:tcPr>
            <w:tcW w:type="dxa" w:w="2880"/>
          </w:tcPr>
          <w:p>
            <w:r>
              <w:rPr>
                <w:rFonts w:ascii="Calibri" w:hAnsi="Calibri"/>
                <w:sz w:val="22"/>
              </w:rPr>
              <w:t>Daily closing prices for APH, XLI, and SPY from April 28, 2026 through July 28, 2026. Used for indexed performance chart and performance summary table.</w:t>
            </w:r>
          </w:p>
        </w:tc>
        <w:tc>
          <w:tcPr>
            <w:tcW w:type="dxa" w:w="2880"/>
          </w:tcPr>
          <w:p>
            <w:r>
              <w:rPr>
                <w:rFonts w:ascii="Calibri" w:hAnsi="Calibri"/>
                <w:sz w:val="22"/>
              </w:rPr>
              <w:t>Section 5</w:t>
            </w:r>
          </w:p>
        </w:tc>
      </w:tr>
      <w:tr>
        <w:tc>
          <w:tcPr>
            <w:tcW w:type="dxa" w:w="2880"/>
          </w:tcPr>
          <w:p>
            <w:r>
              <w:rPr>
                <w:rFonts w:ascii="Calibri" w:hAnsi="Calibri"/>
                <w:sz w:val="22"/>
              </w:rPr>
              <w:t>SEC Form 4 Filings Database</w:t>
            </w:r>
          </w:p>
        </w:tc>
        <w:tc>
          <w:tcPr>
            <w:tcW w:type="dxa" w:w="2880"/>
          </w:tcPr>
          <w:p>
            <w:r>
              <w:rPr>
                <w:rFonts w:ascii="Calibri" w:hAnsi="Calibri"/>
                <w:sz w:val="22"/>
              </w:rPr>
              <w:t>APH Form 4 filed May 5, 2026 (CEO Richard Adam Norwitt open market sales of 130,775 shares across three transactions, May 1–5, 2026).</w:t>
            </w:r>
          </w:p>
        </w:tc>
        <w:tc>
          <w:tcPr>
            <w:tcW w:type="dxa" w:w="2880"/>
          </w:tcPr>
          <w:p>
            <w:r>
              <w:rPr>
                <w:rFonts w:ascii="Calibri" w:hAnsi="Calibri"/>
                <w:sz w:val="22"/>
              </w:rPr>
              <w:t>Section 7</w:t>
            </w:r>
          </w:p>
        </w:tc>
      </w:tr>
      <w:tr>
        <w:tc>
          <w:tcPr>
            <w:tcW w:type="dxa" w:w="2880"/>
          </w:tcPr>
          <w:p>
            <w:r>
              <w:rPr>
                <w:rFonts w:ascii="Calibri" w:hAnsi="Calibri"/>
                <w:sz w:val="22"/>
              </w:rPr>
              <w:t>TEL FQ3 2026 Earnings Call &amp; Release</w:t>
            </w:r>
          </w:p>
        </w:tc>
        <w:tc>
          <w:tcPr>
            <w:tcW w:type="dxa" w:w="2880"/>
          </w:tcPr>
          <w:p>
            <w:r>
              <w:rPr>
                <w:rFonts w:ascii="Calibri" w:hAnsi="Calibri"/>
                <w:sz w:val="22"/>
              </w:rPr>
              <w:t>July 22, 2026. Forward-looking commentary on AI/datacenter demand, order visibility, industrial/auto/defense, and margins.</w:t>
            </w:r>
          </w:p>
        </w:tc>
        <w:tc>
          <w:tcPr>
            <w:tcW w:type="dxa" w:w="2880"/>
          </w:tcPr>
          <w:p>
            <w:r>
              <w:rPr>
                <w:rFonts w:ascii="Calibri" w:hAnsi="Calibri"/>
                <w:sz w:val="22"/>
              </w:rPr>
              <w:t>Section 8.1</w:t>
            </w:r>
          </w:p>
        </w:tc>
      </w:tr>
      <w:tr>
        <w:tc>
          <w:tcPr>
            <w:tcW w:type="dxa" w:w="2880"/>
          </w:tcPr>
          <w:p>
            <w:r>
              <w:rPr>
                <w:rFonts w:ascii="Calibri" w:hAnsi="Calibri"/>
                <w:sz w:val="22"/>
              </w:rPr>
              <w:t>CLS Q2 2026 Earnings Release &amp; 8-K</w:t>
            </w:r>
          </w:p>
        </w:tc>
        <w:tc>
          <w:tcPr>
            <w:tcW w:type="dxa" w:w="2880"/>
          </w:tcPr>
          <w:p>
            <w:r>
              <w:rPr>
                <w:rFonts w:ascii="Calibri" w:hAnsi="Calibri"/>
                <w:sz w:val="22"/>
              </w:rPr>
              <w:t>July 27–28, 2026. Q2 beat and FY2026/2027 guidance raise.</w:t>
            </w:r>
          </w:p>
        </w:tc>
        <w:tc>
          <w:tcPr>
            <w:tcW w:type="dxa" w:w="2880"/>
          </w:tcPr>
          <w:p>
            <w:r>
              <w:rPr>
                <w:rFonts w:ascii="Calibri" w:hAnsi="Calibri"/>
                <w:sz w:val="22"/>
              </w:rPr>
              <w:t>Section 8.2</w:t>
            </w:r>
          </w:p>
        </w:tc>
      </w:tr>
      <w:tr>
        <w:tc>
          <w:tcPr>
            <w:tcW w:type="dxa" w:w="2880"/>
          </w:tcPr>
          <w:p>
            <w:r>
              <w:rPr>
                <w:rFonts w:ascii="Calibri" w:hAnsi="Calibri"/>
                <w:sz w:val="22"/>
              </w:rPr>
              <w:t>GLW Q2 2026 Earnings Call &amp; Release</w:t>
            </w:r>
          </w:p>
        </w:tc>
        <w:tc>
          <w:tcPr>
            <w:tcW w:type="dxa" w:w="2880"/>
          </w:tcPr>
          <w:p>
            <w:r>
              <w:rPr>
                <w:rFonts w:ascii="Calibri" w:hAnsi="Calibri"/>
                <w:sz w:val="22"/>
              </w:rPr>
              <w:t>July 28, 2026. Q2 beat, Q3 guidance miss, optical demand commentary, CPO/scale-up optical narrative.</w:t>
            </w:r>
          </w:p>
        </w:tc>
        <w:tc>
          <w:tcPr>
            <w:tcW w:type="dxa" w:w="2880"/>
          </w:tcPr>
          <w:p>
            <w:r>
              <w:rPr>
                <w:rFonts w:ascii="Calibri" w:hAnsi="Calibri"/>
                <w:sz w:val="22"/>
              </w:rPr>
              <w:t>Section 8.3</w:t>
            </w:r>
          </w:p>
        </w:tc>
      </w:tr>
      <w:tr>
        <w:tc>
          <w:tcPr>
            <w:tcW w:type="dxa" w:w="2880"/>
          </w:tcPr>
          <w:p>
            <w:r>
              <w:rPr>
                <w:rFonts w:ascii="Calibri" w:hAnsi="Calibri"/>
                <w:sz w:val="22"/>
              </w:rPr>
              <w:t>JBL FQ3 2026 Earnings Call &amp; Release</w:t>
            </w:r>
          </w:p>
        </w:tc>
        <w:tc>
          <w:tcPr>
            <w:tcW w:type="dxa" w:w="2880"/>
          </w:tcPr>
          <w:p>
            <w:r>
              <w:rPr>
                <w:rFonts w:ascii="Calibri" w:hAnsi="Calibri"/>
                <w:sz w:val="22"/>
              </w:rPr>
              <w:t>June 17, 2026. AI revenue raise, third hyperscaler win, networking/optical commentary, auto/industrial outlook.</w:t>
            </w:r>
          </w:p>
        </w:tc>
        <w:tc>
          <w:tcPr>
            <w:tcW w:type="dxa" w:w="2880"/>
          </w:tcPr>
          <w:p>
            <w:r>
              <w:rPr>
                <w:rFonts w:ascii="Calibri" w:hAnsi="Calibri"/>
                <w:sz w:val="22"/>
              </w:rPr>
              <w:t>Section 8.4</w:t>
            </w:r>
          </w:p>
        </w:tc>
      </w:tr>
      <w:tr>
        <w:tc>
          <w:tcPr>
            <w:tcW w:type="dxa" w:w="2880"/>
          </w:tcPr>
          <w:p>
            <w:r>
              <w:rPr>
                <w:rFonts w:ascii="Calibri" w:hAnsi="Calibri"/>
                <w:sz w:val="22"/>
              </w:rPr>
              <w:t>SANM FQ3 2026 Earnings Call &amp; Release</w:t>
            </w:r>
          </w:p>
        </w:tc>
        <w:tc>
          <w:tcPr>
            <w:tcW w:type="dxa" w:w="2880"/>
          </w:tcPr>
          <w:p>
            <w:r>
              <w:rPr>
                <w:rFonts w:ascii="Calibri" w:hAnsi="Calibri"/>
                <w:sz w:val="22"/>
              </w:rPr>
              <w:t>July 27, 2026. AI demand commentary, FY27 revenue confidence, order visibility, defense/industrial outlook.</w:t>
            </w:r>
          </w:p>
        </w:tc>
        <w:tc>
          <w:tcPr>
            <w:tcW w:type="dxa" w:w="2880"/>
          </w:tcPr>
          <w:p>
            <w:r>
              <w:rPr>
                <w:rFonts w:ascii="Calibri" w:hAnsi="Calibri"/>
                <w:sz w:val="22"/>
              </w:rPr>
              <w:t>Section 8.5</w:t>
            </w:r>
          </w:p>
        </w:tc>
      </w:tr>
      <w:tr>
        <w:tc>
          <w:tcPr>
            <w:tcW w:type="dxa" w:w="2880"/>
          </w:tcPr>
          <w:p>
            <w:r>
              <w:rPr>
                <w:rFonts w:ascii="Calibri" w:hAnsi="Calibri"/>
                <w:sz w:val="22"/>
              </w:rPr>
              <w:t>VICR Q2 2026 Earnings Call &amp; Release</w:t>
            </w:r>
          </w:p>
        </w:tc>
        <w:tc>
          <w:tcPr>
            <w:tcW w:type="dxa" w:w="2880"/>
          </w:tcPr>
          <w:p>
            <w:r>
              <w:rPr>
                <w:rFonts w:ascii="Calibri" w:hAnsi="Calibri"/>
                <w:sz w:val="22"/>
              </w:rPr>
              <w:t>July 21, 2026. VPD/AI power demand, backlog growth, lead time commentary, long-term targets.</w:t>
            </w:r>
          </w:p>
        </w:tc>
        <w:tc>
          <w:tcPr>
            <w:tcW w:type="dxa" w:w="2880"/>
          </w:tcPr>
          <w:p>
            <w:r>
              <w:rPr>
                <w:rFonts w:ascii="Calibri" w:hAnsi="Calibri"/>
                <w:sz w:val="22"/>
              </w:rPr>
              <w:t>Section 8.6</w:t>
            </w:r>
          </w:p>
        </w:tc>
      </w:tr>
      <w:tr>
        <w:tc>
          <w:tcPr>
            <w:tcW w:type="dxa" w:w="2880"/>
          </w:tcPr>
          <w:p>
            <w:r>
              <w:rPr>
                <w:rFonts w:ascii="Calibri" w:hAnsi="Calibri"/>
                <w:sz w:val="22"/>
              </w:rPr>
              <w:t>FLEX BofA Global Technology Conference Transcript</w:t>
            </w:r>
          </w:p>
        </w:tc>
        <w:tc>
          <w:tcPr>
            <w:tcW w:type="dxa" w:w="2880"/>
          </w:tcPr>
          <w:p>
            <w:r>
              <w:rPr>
                <w:rFonts w:ascii="Calibri" w:hAnsi="Calibri"/>
                <w:sz w:val="22"/>
              </w:rPr>
              <w:t>June 2, 2026. SpinCo AI infrastructure growth, booking visibility, capacity investments, industrial/auto commentary.</w:t>
            </w:r>
          </w:p>
        </w:tc>
        <w:tc>
          <w:tcPr>
            <w:tcW w:type="dxa" w:w="2880"/>
          </w:tcPr>
          <w:p>
            <w:r>
              <w:rPr>
                <w:rFonts w:ascii="Calibri" w:hAnsi="Calibri"/>
                <w:sz w:val="22"/>
              </w:rPr>
              <w:t>Section 8.7</w:t>
            </w:r>
          </w:p>
        </w:tc>
      </w:tr>
      <w:tr>
        <w:tc>
          <w:tcPr>
            <w:tcW w:type="dxa" w:w="2880"/>
          </w:tcPr>
          <w:p>
            <w:r>
              <w:rPr>
                <w:rFonts w:ascii="Calibri" w:hAnsi="Calibri"/>
                <w:sz w:val="22"/>
              </w:rPr>
              <w:t>Implied Platform — Company Knowledge Base (APH Summary, Key KPIs, Stock Performance Decomposition, Earnings &amp; EPS Revision Momentum)</w:t>
            </w:r>
          </w:p>
        </w:tc>
        <w:tc>
          <w:tcPr>
            <w:tcW w:type="dxa" w:w="2880"/>
          </w:tcPr>
          <w:p>
            <w:r>
              <w:rPr>
                <w:rFonts w:ascii="Calibri" w:hAnsi="Calibri"/>
                <w:sz w:val="22"/>
              </w:rPr>
              <w:t>Proprietary research database. APH business overview, key KPI definitions, valuation decomposition (NTM multiples), and EPS revision momentum data.</w:t>
            </w:r>
          </w:p>
        </w:tc>
        <w:tc>
          <w:tcPr>
            <w:tcW w:type="dxa" w:w="2880"/>
          </w:tcPr>
          <w:p>
            <w:r>
              <w:rPr>
                <w:rFonts w:ascii="Calibri" w:hAnsi="Calibri"/>
                <w:sz w:val="22"/>
              </w:rPr>
              <w:t>Sections 1, 5</w:t>
            </w:r>
          </w:p>
        </w:tc>
      </w:tr>
    </w:tbl>
    <w:p>
      <w:r>
        <w:rPr>
          <w:rFonts w:ascii="Calibri" w:hAnsi="Calibri"/>
          <w:i/>
          <w:color w:val="525866"/>
          <w:sz w:val="22"/>
        </w:rPr>
        <w:t>Research Cutoff: July 28, 2026 (market close). All data, estimates, prices, and commentary reflect information available as of this date. 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