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 per share (adjusted), Q2 2026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 Company Company6. Company0 vs. cons ~$6.35 (F 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F026Y year-end occupancy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~86.5% ( maintained) vs. cons ~86.8%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dispositions/JV completions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~$0.9-1.3B closed/hard vs. $2.9B target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Even an in-line FFO and held</w:t>
            </w:r>
            <w:r>
              <w:t xml:space="preserve"> </w:t>
            </w:r>
            <m:oMath>
              <m:r>
                <m:t>6.40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c</m:t>
              </m:r>
              <m:r>
                <m:t>a</m:t>
              </m:r>
              <m:r>
                <m:t>r</m:t>
              </m:r>
              <m:r>
                <m:t>r</m:t>
              </m:r>
              <m:r>
                <m:t>y</m:t>
              </m:r>
              <m:r>
                <m:t>a</m:t>
              </m:r>
              <m:r>
                <m:t>b</m:t>
              </m:r>
              <m:r>
                <m:t>u</m:t>
              </m:r>
              <m:r>
                <m:t>i</m:t>
              </m:r>
              <m:r>
                <m:t>l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d</m:t>
              </m:r>
              <m:r>
                <m:t>e</m:t>
              </m:r>
              <m:r>
                <m:t>c</m:t>
              </m:r>
              <m:r>
                <m:t>l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r</m:t>
              </m:r>
              <m:r>
                <m:t>a</m:t>
              </m:r>
              <m:r>
                <m:t>j</m:t>
              </m:r>
              <m:r>
                <m:t>e</m:t>
              </m:r>
              <m:r>
                <m:t>c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(</m:t>
              </m:r>
              <m:r>
                <m:t>Q</m:t>
              </m:r>
              <m:r>
                <m:t>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 </m:t>
              </m:r>
            </m:oMath>
            <w:r>
              <w:t xml:space="preserve">1.45) plus an explicitly soft Q2 occupancy print; out-period math and the looming 2027 expiration cliff (~1.5M SF, ~$97M ARR) keep estimate revisions biased down. Any disposition slippage vs. the ~August-weighted $2.9B target confirms the 'no trough for years' bear thesis. A relief pop on a held guide/dividend tends to fade absent hard, de-levering closings.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2026-08-03T00:26:38Z</dcterms:created>
  <dcterms:modified xsi:type="dcterms:W3CDTF">2026-08-03T00:26:38Z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