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e3d3ff94818cc89dca257e2e91816cba9f30216"/>
    <w:p>
      <w:pPr>
        <w:pStyle w:val="Heading1"/>
      </w:pPr>
      <w:r>
        <w:t xml:space="preserve">Alexandria Real Estate Equities (ARE) — Q2 2026 Earnings Preview</w:t>
      </w:r>
    </w:p>
    <w:bookmarkStart w:id="9" w:name="Xb352c8e4e6eaf2fdb251076a0b48bfa4cc9b89a"/>
    <w:p>
      <w:pPr>
        <w:pStyle w:val="Heading3"/>
      </w:pPr>
      <w:r>
        <w:t xml:space="preserve">Report expected: Monday, August 3, 2026 (after market close) | Conference call to follow</w:t>
      </w:r>
    </w:p>
    <w:p>
      <w:r>
        <w:pict>
          <v:rect style="width:0;height:1.5pt" o:hralign="center" o:hrstd="t" o:hr="t"/>
        </w:pict>
      </w:r>
    </w:p>
    <w:bookmarkEnd w:id="9"/>
    <w:bookmarkStart w:id="10" w:name="X85e66a695172cdf7d6ed13faf9d3104d661eaf1"/>
    <w:p>
      <w:pPr>
        <w:pStyle w:val="Heading2"/>
      </w:pPr>
      <w:r>
        <w:t xml:space="preserve">1. The One-Sentence Setup</w:t>
      </w:r>
    </w:p>
    <w:p>
      <w:pPr>
        <w:pStyle w:val="FirstParagraph"/>
      </w:pPr>
      <w:r>
        <w:t xml:space="preserve">ARE goes into this print as a deeply out-of-favor, high-quality life-science REIT whose stock has been cut roughly in half over the past year. The bull case rests on a cheap valuation, a covered ~6% dividend, and a best-in-class megacampus asset base; the bear case is a still-deteriorating fundamental picture — falling occupancy, negative same-store NOI, negative releasing spreads, and a life-science demand backdrop that management itself describes as the worst it has seen.</w:t>
      </w:r>
      <w:r>
        <w:t xml:space="preserve"> </w:t>
      </w:r>
      <w:r>
        <w:rPr>
          <w:b/>
          <w:bCs/>
        </w:rPr>
        <w:t xml:space="preserve">The two things that matter most this quarter are (1) execution on the ~$2.9B disposition/JV plan that funds deleveraging, and (2) whether the FY26 FFO guide of $6.40 holds.</w:t>
      </w:r>
    </w:p>
    <w:p>
      <w:r>
        <w:pict>
          <v:rect style="width:0;height:1.5pt" o:hralign="center" o:hrstd="t" o:hr="t"/>
        </w:pict>
      </w:r>
    </w:p>
    <w:bookmarkEnd w:id="10"/>
    <w:bookmarkStart w:id="11" w:name="X34c6db182cdc14e170465c10b4be1a6f2f8beb6"/>
    <w:p>
      <w:pPr>
        <w:pStyle w:val="Heading2"/>
      </w:pPr>
      <w:r>
        <w:t xml:space="preserve">2. Price Action &amp; Sentiment Context</w:t>
      </w:r>
    </w:p>
    <w:p>
      <w:pPr>
        <w:pStyle w:val="FirstParagraph"/>
      </w:pPr>
      <w:r>
        <w:t xml:space="preserve">The stock has been a wrecking ball for holders: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Date</w:t>
            </w:r>
          </w:p>
        </w:tc>
        <w:tc>
          <w:tcPr/>
          <w:p>
            <w:pPr>
              <w:pStyle w:val="Compact"/>
            </w:pPr>
            <w:r>
              <w:t xml:space="preserve">ARE Close</w:t>
            </w:r>
          </w:p>
        </w:tc>
      </w:tr>
      <w:tr>
        <w:tc>
          <w:tcPr/>
          <w:p>
            <w:pPr>
              <w:pStyle w:val="Compact"/>
            </w:pPr>
            <w:r>
              <w:t xml:space="preserve">Mar 2025 (quarter-end)</w:t>
            </w:r>
          </w:p>
        </w:tc>
        <w:tc>
          <w:tcPr/>
          <w:p>
            <w:pPr>
              <w:pStyle w:val="Compact"/>
            </w:pPr>
            <w:r>
              <w:t xml:space="preserve">~$92.51</w:t>
            </w:r>
          </w:p>
        </w:tc>
      </w:tr>
      <w:tr>
        <w:tc>
          <w:tcPr/>
          <w:p>
            <w:pPr>
              <w:pStyle w:val="Compact"/>
            </w:pPr>
            <w:r>
              <w:t xml:space="preserve">Late Sep 2025 (52-wk high area)</w:t>
            </w:r>
          </w:p>
        </w:tc>
        <w:tc>
          <w:tcPr/>
          <w:p>
            <w:pPr>
              <w:pStyle w:val="Compact"/>
            </w:pPr>
            <w:r>
              <w:t xml:space="preserve">~$87</w:t>
            </w:r>
          </w:p>
        </w:tc>
      </w:tr>
      <w:tr>
        <w:tc>
          <w:tcPr/>
          <w:p>
            <w:pPr>
              <w:pStyle w:val="Compact"/>
            </w:pPr>
            <w:r>
              <w:t xml:space="preserve">Oct 27, 2025 (pre–Q3 print)</w:t>
            </w:r>
          </w:p>
        </w:tc>
        <w:tc>
          <w:tcPr/>
          <w:p>
            <w:pPr>
              <w:pStyle w:val="Compact"/>
            </w:pPr>
            <w:r>
              <w:t xml:space="preserve">~$77.87</w:t>
            </w:r>
          </w:p>
        </w:tc>
      </w:tr>
      <w:tr>
        <w:tc>
          <w:tcPr/>
          <w:p>
            <w:pPr>
              <w:pStyle w:val="Compact"/>
            </w:pPr>
            <w:r>
              <w:rPr>
                <w:b/>
                <w:bCs/>
              </w:rPr>
              <w:t xml:space="preserve">Oct 28, 2025 (Q3 print)</w:t>
            </w:r>
          </w:p>
        </w:tc>
        <w:tc>
          <w:tcPr/>
          <w:p>
            <w:pPr>
              <w:pStyle w:val="Compact"/>
            </w:pPr>
            <w:r>
              <w:rPr>
                <w:b/>
                <w:bCs/>
              </w:rPr>
              <w:t xml:space="preserve">$62.94</w:t>
            </w:r>
          </w:p>
        </w:tc>
      </w:tr>
      <w:tr>
        <w:tc>
          <w:tcPr/>
          <w:p>
            <w:pPr>
              <w:pStyle w:val="Compact"/>
            </w:pPr>
            <w:r>
              <w:t xml:space="preserve">Apr 28, 2026 (Q1 print)</w:t>
            </w:r>
          </w:p>
        </w:tc>
        <w:tc>
          <w:tcPr/>
          <w:p>
            <w:pPr>
              <w:pStyle w:val="Compact"/>
            </w:pPr>
            <w:r>
              <w:t xml:space="preserve">~$40.41 (multi-year low)</w:t>
            </w:r>
          </w:p>
        </w:tc>
      </w:tr>
      <w:tr>
        <w:tc>
          <w:tcPr/>
          <w:p>
            <w:pPr>
              <w:pStyle w:val="Compact"/>
            </w:pPr>
            <w:r>
              <w:t xml:space="preserve">Jul 31, 2026 (latest)</w:t>
            </w:r>
          </w:p>
        </w:tc>
        <w:tc>
          <w:tcPr/>
          <w:p>
            <w:pPr>
              <w:pStyle w:val="Compact"/>
            </w:pPr>
            <w:r>
              <w:t xml:space="preserve">~$51.47</w:t>
            </w:r>
          </w:p>
        </w:tc>
      </w:tr>
    </w:tbl>
    <w:p>
      <w:pPr>
        <w:pStyle w:val="BodyText"/>
      </w:pPr>
      <w:r>
        <w:t xml:space="preserve">Two observations:</w:t>
      </w:r>
    </w:p>
    <w:p>
      <w:pPr>
        <w:pStyle w:val="Compact"/>
        <w:numPr>
          <w:ilvl w:val="0"/>
          <w:numId w:val="1001"/>
        </w:numPr>
      </w:pPr>
      <w:r>
        <w:t xml:space="preserve">The</w:t>
      </w:r>
      <w:r>
        <w:t xml:space="preserve"> </w:t>
      </w:r>
      <w:r>
        <w:rPr>
          <w:b/>
          <w:bCs/>
        </w:rPr>
        <w:t xml:space="preserve">October 2025 gap-down</w:t>
      </w:r>
      <w:r>
        <w:t xml:space="preserve"> </w:t>
      </w:r>
      <w:r>
        <w:t xml:space="preserve">(~$78 →</w:t>
      </w:r>
      <w:r>
        <w:t xml:space="preserve"> </w:t>
      </w:r>
      <m:oMath>
        <m:r>
          <m:t>63</m:t>
        </m:r>
        <m:r>
          <m:rPr>
            <m:sty m:val="p"/>
          </m:rPr>
          <m:t>)</m:t>
        </m:r>
        <m:r>
          <m:t>c</m:t>
        </m:r>
        <m:r>
          <m:t>o</m:t>
        </m:r>
        <m:r>
          <m:t>i</m:t>
        </m:r>
        <m:r>
          <m:t>n</m:t>
        </m:r>
        <m:r>
          <m:t>c</m:t>
        </m:r>
        <m:r>
          <m:t>i</m:t>
        </m:r>
        <m:r>
          <m:t>d</m:t>
        </m:r>
        <m:r>
          <m:t>e</m:t>
        </m:r>
        <m:r>
          <m:t>d</m:t>
        </m:r>
        <m:r>
          <m:t>w</m:t>
        </m:r>
        <m:r>
          <m:t>i</m:t>
        </m:r>
        <m:r>
          <m:t>t</m:t>
        </m:r>
        <m:r>
          <m:t>h</m:t>
        </m:r>
        <m:r>
          <m:t>t</m:t>
        </m:r>
        <m:r>
          <m:t>h</m:t>
        </m:r>
        <m:r>
          <m:t>e</m:t>
        </m:r>
        <m:r>
          <m:t>d</m:t>
        </m:r>
        <m:r>
          <m:t>i</m:t>
        </m:r>
        <m:r>
          <m:t>v</m:t>
        </m:r>
        <m:r>
          <m:t>i</m:t>
        </m:r>
        <m:r>
          <m:t>d</m:t>
        </m:r>
        <m:r>
          <m:t>e</m:t>
        </m:r>
        <m:r>
          <m:t>n</m:t>
        </m:r>
        <m:r>
          <m:t>d</m:t>
        </m:r>
        <m:r>
          <m:t>b</m:t>
        </m:r>
        <m:r>
          <m:t>e</m:t>
        </m:r>
        <m:r>
          <m:t>i</m:t>
        </m:r>
        <m:r>
          <m:t>n</m:t>
        </m:r>
        <m:r>
          <m:t>g</m:t>
        </m:r>
        <m:r>
          <m:t>r</m:t>
        </m:r>
        <m:r>
          <m:t>e</m:t>
        </m:r>
        <m:r>
          <m:t>s</m:t>
        </m:r>
        <m:r>
          <m:t>e</m:t>
        </m:r>
        <m:r>
          <m:t>t</m:t>
        </m:r>
        <m:r>
          <m:t>f</m:t>
        </m:r>
        <m:r>
          <m:t>r</m:t>
        </m:r>
        <m:r>
          <m:t>o</m:t>
        </m:r>
        <m:r>
          <m:t>m</m:t>
        </m:r>
        <m:r>
          <m:rPr>
            <m:sty m:val="p"/>
          </m:rPr>
          <m:t>*</m:t>
        </m:r>
        <m:r>
          <m:rPr>
            <m:sty m:val="p"/>
          </m:rPr>
          <m:t>*</m:t>
        </m:r>
      </m:oMath>
      <w:r>
        <w:t xml:space="preserve">1.32/quarter to</w:t>
      </w:r>
      <w:r>
        <w:t xml:space="preserve"> </w:t>
      </w:r>
      <m:oMath>
        <m:r>
          <m:t>0.72</m:t>
        </m:r>
        <m:r>
          <m:rPr>
            <m:sty m:val="p"/>
          </m:rPr>
          <m:t>/</m:t>
        </m:r>
        <m:r>
          <m:t>q</m:t>
        </m:r>
        <m:r>
          <m:t>u</m:t>
        </m:r>
        <m:r>
          <m:t>a</m:t>
        </m:r>
        <m:r>
          <m:t>r</m:t>
        </m:r>
        <m:r>
          <m:t>t</m:t>
        </m:r>
        <m:r>
          <m:t>e</m:t>
        </m:r>
        <m:r>
          <m:t>r</m:t>
        </m:r>
        <m:r>
          <m:rPr>
            <m:sty m:val="p"/>
          </m:rPr>
          <m:t>*</m:t>
        </m:r>
        <m:r>
          <m:rPr>
            <m:sty m:val="p"/>
          </m:rPr>
          <m:t>*</m:t>
        </m:r>
        <m:r>
          <m:rPr>
            <m:sty m:val="p"/>
          </m:rPr>
          <m:t>(</m:t>
        </m:r>
        <m:r>
          <m:t>a</m:t>
        </m:r>
        <m:r>
          <m:t> </m:t>
        </m:r>
        <m:r>
          <m:t>45</m:t>
        </m:r>
      </m:oMath>
      <w:r>
        <w:t xml:space="preserve">1.7B impairment in Q4 2025 alone).</w:t>
      </w:r>
    </w:p>
    <w:p>
      <w:pPr>
        <w:pStyle w:val="Compact"/>
        <w:numPr>
          <w:ilvl w:val="0"/>
          <w:numId w:val="1001"/>
        </w:numPr>
      </w:pPr>
      <w:r>
        <w:t xml:space="preserve">The stock bottomed around **</w:t>
      </w:r>
      <m:oMath>
        <m:r>
          <m:t>40</m:t>
        </m:r>
        <m:r>
          <m:rPr>
            <m:sty m:val="p"/>
          </m:rPr>
          <m:t>*</m:t>
        </m:r>
        <m:r>
          <m:rPr>
            <m:sty m:val="p"/>
          </m:rPr>
          <m:t>*</m:t>
        </m:r>
        <m:r>
          <m:t>a</m:t>
        </m:r>
        <m:r>
          <m:t>t</m:t>
        </m:r>
        <m:r>
          <m:t>t</m:t>
        </m:r>
        <m:r>
          <m:t>h</m:t>
        </m:r>
        <m:r>
          <m:t>e</m:t>
        </m:r>
        <m:r>
          <m:t>A</m:t>
        </m:r>
        <m:r>
          <m:t>p</m:t>
        </m:r>
        <m:r>
          <m:t>r</m:t>
        </m:r>
        <m:r>
          <m:t>i</m:t>
        </m:r>
        <m:r>
          <m:t>l</m:t>
        </m:r>
        <m:r>
          <m:t>2026</m:t>
        </m:r>
        <m:r>
          <m:t>p</m:t>
        </m:r>
        <m:r>
          <m:t>r</m:t>
        </m:r>
        <m:r>
          <m:t>i</m:t>
        </m:r>
        <m:r>
          <m:t>n</m:t>
        </m:r>
        <m:r>
          <m:t>t</m:t>
        </m:r>
        <m:r>
          <m:t>a</m:t>
        </m:r>
        <m:r>
          <m:t>n</m:t>
        </m:r>
        <m:r>
          <m:t>d</m:t>
        </m:r>
        <m:r>
          <m:t>h</m:t>
        </m:r>
        <m:r>
          <m:t>a</m:t>
        </m:r>
        <m:r>
          <m:t>s</m:t>
        </m:r>
        <m:r>
          <m:t>s</m:t>
        </m:r>
        <m:r>
          <m:t>i</m:t>
        </m:r>
        <m:r>
          <m:t>n</m:t>
        </m:r>
        <m:r>
          <m:t>c</m:t>
        </m:r>
        <m:r>
          <m:t>e</m:t>
        </m:r>
        <m:r>
          <m:t>c</m:t>
        </m:r>
        <m:r>
          <m:t>l</m:t>
        </m:r>
        <m:r>
          <m:t>a</m:t>
        </m:r>
        <m:r>
          <m:t>w</m:t>
        </m:r>
        <m:r>
          <m:t>e</m:t>
        </m:r>
        <m:r>
          <m:t>d</m:t>
        </m:r>
        <m:r>
          <m:t>b</m:t>
        </m:r>
        <m:r>
          <m:t>a</m:t>
        </m:r>
        <m:r>
          <m:t>c</m:t>
        </m:r>
        <m:r>
          <m:t>k</m:t>
        </m:r>
        <m:r>
          <m:t> </m:t>
        </m:r>
        <m:r>
          <m:t>25</m:t>
        </m:r>
      </m:oMath>
      <w:r>
        <w:t xml:space="preserve">50s, including a pop into late July (from ~</w:t>
      </w:r>
      <m:oMath>
        <m:r>
          <m:t>48</m:t>
        </m:r>
        <m:r>
          <m:t>o</m:t>
        </m:r>
        <m:r>
          <m:t>n</m:t>
        </m:r>
        <m:r>
          <m:t>J</m:t>
        </m:r>
        <m:r>
          <m:t>u</m:t>
        </m:r>
        <m:r>
          <m:t>l</m:t>
        </m:r>
        <m:r>
          <m:t>10</m:t>
        </m:r>
        <m:r>
          <m:t>t</m:t>
        </m:r>
        <m:r>
          <m:t>o</m:t>
        </m:r>
        <m:r>
          <m:t> </m:t>
        </m:r>
      </m:oMath>
      <w:r>
        <w:t xml:space="preserve">54 on Jul 28). So expectations have thawed slightly, but sentiment remains, per the latest news digest,</w:t>
      </w:r>
      <w:r>
        <w:t xml:space="preserve"> </w:t>
      </w:r>
      <w:r>
        <w:rPr>
          <w:b/>
          <w:bCs/>
        </w:rPr>
        <w:t xml:space="preserve">relatively neutral</w:t>
      </w:r>
      <w:r>
        <w:t xml:space="preserve"> </w:t>
      </w:r>
      <w:r>
        <w:t xml:space="preserve">— cheap valuation and dividend support offset by occupancy headwinds, with the Street not expecting occupancy to trough "for years to come."</w:t>
      </w:r>
    </w:p>
    <w:p>
      <w:pPr>
        <w:pStyle w:val="FirstParagraph"/>
      </w:pPr>
      <w:r>
        <w:t xml:space="preserve">Implication: the setup is asymmetric on tone. A credible disposition update + a held guide could squeeze a beaten-down, under-owned name; another guidance cut would confirm the "no trough in sight" narrative.</w:t>
      </w:r>
    </w:p>
    <w:p>
      <w:r>
        <w:pict>
          <v:rect style="width:0;height:1.5pt" o:hralign="center" o:hrstd="t" o:hr="t"/>
        </w:pict>
      </w:r>
    </w:p>
    <w:bookmarkEnd w:id="11"/>
    <w:bookmarkStart w:id="12" w:name="X8cc2c58bbeeec2cac0c75382f4633ef8beb5c43"/>
    <w:p>
      <w:pPr>
        <w:pStyle w:val="Heading2"/>
      </w:pPr>
      <w:r>
        <w:t xml:space="preserve">3. Where Q1 2026 Left Off (the jumping-off point)</w:t>
      </w:r>
    </w:p>
    <w:p>
      <w:pPr>
        <w:pStyle w:val="FirstParagraph"/>
      </w:pPr>
      <w:r>
        <w:t xml:space="preserve">Key Q1 2026 actuals and guardrails to measure Q2 against:</w:t>
      </w:r>
    </w:p>
    <w:p>
      <w:pPr>
        <w:pStyle w:val="Compact"/>
        <w:numPr>
          <w:ilvl w:val="0"/>
          <w:numId w:val="1002"/>
        </w:numPr>
      </w:pPr>
      <w:r>
        <w:rPr>
          <w:b/>
          <w:bCs/>
        </w:rPr>
        <w:t xml:space="preserve">FFO/share (diluted, as adjusted): $1.73</w:t>
      </w:r>
      <w:r>
        <w:t xml:space="preserve"> </w:t>
      </w:r>
      <w:r>
        <w:t xml:space="preserve">in Q1 (vs. $2.30 a year ago — down 25% YoY as occupancy and dispositions bite).</w:t>
      </w:r>
    </w:p>
    <w:p>
      <w:pPr>
        <w:pStyle w:val="Compact"/>
        <w:numPr>
          <w:ilvl w:val="0"/>
          <w:numId w:val="1002"/>
        </w:numPr>
      </w:pPr>
      <w:r>
        <w:rPr>
          <w:b/>
          <w:bCs/>
        </w:rPr>
        <w:t xml:space="preserve">FY26 FFO guide:</w:t>
      </w:r>
      <w:r>
        <w:rPr>
          <w:b/>
          <w:bCs/>
        </w:rPr>
        <w:t xml:space="preserve"> </w:t>
      </w:r>
      <m:oMath>
        <m:r>
          <m:t>6.30</m:t>
        </m:r>
        <m:r>
          <m:rPr>
            <m:sty m:val="p"/>
          </m:rPr>
          <m:t>–</m:t>
        </m:r>
      </m:oMath>
      <w:r>
        <w:rPr>
          <w:b/>
          <w:bCs/>
        </w:rPr>
        <w:t xml:space="preserve">6.50, midpoint</w:t>
      </w:r>
      <w:r>
        <w:rPr>
          <w:b/>
          <w:bCs/>
        </w:rPr>
        <w:t xml:space="preserve"> </w:t>
      </w:r>
      <m:oMath>
        <m:r>
          <m:t>6.40</m:t>
        </m:r>
        <m:r>
          <m:rPr>
            <m:sty m:val="p"/>
          </m:rPr>
          <m:t>*</m:t>
        </m:r>
        <m:r>
          <m:rPr>
            <m:sty m:val="p"/>
          </m:rPr>
          <m:t>*</m:t>
        </m:r>
        <m:r>
          <m:rPr>
            <m:sty m:val="p"/>
          </m:rPr>
          <m:t>(</m:t>
        </m:r>
        <m:r>
          <m:t>m</m:t>
        </m:r>
        <m:r>
          <m:t>i</m:t>
        </m:r>
        <m:r>
          <m:t>d</m:t>
        </m:r>
        <m:r>
          <m:t>p</m:t>
        </m:r>
        <m:r>
          <m:t>o</m:t>
        </m:r>
        <m:r>
          <m:t>i</m:t>
        </m:r>
        <m:r>
          <m:t>n</m:t>
        </m:r>
        <m:r>
          <m:t>t</m:t>
        </m:r>
        <m:r>
          <m:t>h</m:t>
        </m:r>
        <m:r>
          <m:t>e</m:t>
        </m:r>
        <m:r>
          <m:t>l</m:t>
        </m:r>
        <m:r>
          <m:t>d</m:t>
        </m:r>
        <m:r>
          <m:t>a</m:t>
        </m:r>
        <m:r>
          <m:t>t</m:t>
        </m:r>
        <m:r>
          <m:t>Q</m:t>
        </m:r>
        <m:r>
          <m:t>1</m:t>
        </m:r>
        <m:r>
          <m:rPr>
            <m:sty m:val="p"/>
          </m:rPr>
          <m:t>,</m:t>
        </m:r>
        <m:r>
          <m:t>r</m:t>
        </m:r>
        <m:r>
          <m:t>a</m:t>
        </m:r>
        <m:r>
          <m:t>n</m:t>
        </m:r>
        <m:r>
          <m:t>g</m:t>
        </m:r>
        <m:r>
          <m:t>e</m:t>
        </m:r>
        <m:r>
          <m:t>n</m:t>
        </m:r>
        <m:r>
          <m:t>a</m:t>
        </m:r>
        <m:r>
          <m:t>r</m:t>
        </m:r>
        <m:r>
          <m:t>r</m:t>
        </m:r>
        <m:r>
          <m:t>o</m:t>
        </m:r>
        <m:r>
          <m:t>w</m:t>
        </m:r>
        <m:r>
          <m:t>e</m:t>
        </m:r>
        <m:r>
          <m:t>d</m:t>
        </m:r>
        <m:r>
          <m:rPr>
            <m:sty m:val="p"/>
          </m:rPr>
          <m:t>)</m:t>
        </m:r>
        <m:r>
          <m:rPr>
            <m:sty m:val="p"/>
          </m:rPr>
          <m:t>.</m:t>
        </m:r>
        <m:r>
          <m:t>N</m:t>
        </m:r>
        <m:r>
          <m:t>o</m:t>
        </m:r>
        <m:r>
          <m:t>t</m:t>
        </m:r>
        <m:r>
          <m:t>e</m:t>
        </m:r>
        <m:r>
          <m:t>t</m:t>
        </m:r>
        <m:r>
          <m:t>h</m:t>
        </m:r>
        <m:r>
          <m:t>e</m:t>
        </m:r>
        <m:r>
          <m:rPr>
            <m:sty m:val="p"/>
          </m:rPr>
          <m:t>*</m:t>
        </m:r>
        <m:r>
          <m:t>d</m:t>
        </m:r>
        <m:r>
          <m:t>e</m:t>
        </m:r>
        <m:r>
          <m:t>c</m:t>
        </m:r>
        <m:r>
          <m:t>l</m:t>
        </m:r>
        <m:r>
          <m:t>i</m:t>
        </m:r>
        <m:r>
          <m:t>n</m:t>
        </m:r>
        <m:r>
          <m:t>i</m:t>
        </m:r>
        <m:r>
          <m:t>n</m:t>
        </m:r>
        <m:r>
          <m:t>g</m:t>
        </m:r>
        <m:r>
          <m:t>q</m:t>
        </m:r>
        <m:r>
          <m:t>u</m:t>
        </m:r>
        <m:r>
          <m:t>a</m:t>
        </m:r>
        <m:r>
          <m:t>r</m:t>
        </m:r>
        <m:r>
          <m:t>t</m:t>
        </m:r>
        <m:r>
          <m:t>e</m:t>
        </m:r>
        <m:r>
          <m:t>r</m:t>
        </m:r>
        <m:r>
          <m:t>l</m:t>
        </m:r>
        <m:r>
          <m:t>y</m:t>
        </m:r>
        <m:r>
          <m:t>t</m:t>
        </m:r>
        <m:r>
          <m:t>r</m:t>
        </m:r>
        <m:r>
          <m:t>a</m:t>
        </m:r>
        <m:r>
          <m:t>j</m:t>
        </m:r>
        <m:r>
          <m:t>e</m:t>
        </m:r>
        <m:r>
          <m:t>c</m:t>
        </m:r>
        <m:r>
          <m:t>t</m:t>
        </m:r>
        <m:r>
          <m:t>o</m:t>
        </m:r>
        <m:r>
          <m:t>r</m:t>
        </m:r>
        <m:r>
          <m:t>y</m:t>
        </m:r>
        <m:r>
          <m:rPr>
            <m:sty m:val="p"/>
          </m:rPr>
          <m:t>*</m:t>
        </m:r>
        <m:r>
          <m:t>b</m:t>
        </m:r>
        <m:r>
          <m:t>a</m:t>
        </m:r>
        <m:r>
          <m:t>k</m:t>
        </m:r>
        <m:r>
          <m:t>e</m:t>
        </m:r>
        <m:r>
          <m:t>d</m:t>
        </m:r>
        <m:r>
          <m:t>i</m:t>
        </m:r>
        <m:r>
          <m:t>n</m:t>
        </m:r>
        <m:r>
          <m:rPr>
            <m:sty m:val="p"/>
          </m:rPr>
          <m:t>:</m:t>
        </m:r>
        <m:r>
          <m:t>Q</m:t>
        </m:r>
        <m:r>
          <m:t>4</m:t>
        </m:r>
        <m:r>
          <m:t>2026</m:t>
        </m:r>
        <m:r>
          <m:t>i</m:t>
        </m:r>
        <m:r>
          <m:t>m</m:t>
        </m:r>
        <m:r>
          <m:t>p</m:t>
        </m:r>
        <m:r>
          <m:t>l</m:t>
        </m:r>
        <m:r>
          <m:t>i</m:t>
        </m:r>
        <m:r>
          <m:t>e</m:t>
        </m:r>
        <m:r>
          <m:t>d</m:t>
        </m:r>
        <m:r>
          <m:t>F</m:t>
        </m:r>
        <m:r>
          <m:t>F</m:t>
        </m:r>
        <m:r>
          <m:t>O</m:t>
        </m:r>
        <m:r>
          <m:t>i</m:t>
        </m:r>
        <m:r>
          <m:t>s</m:t>
        </m:r>
        <m:r>
          <m:t>g</m:t>
        </m:r>
        <m:r>
          <m:t>u</m:t>
        </m:r>
        <m:r>
          <m:t>i</m:t>
        </m:r>
        <m:r>
          <m:t>d</m:t>
        </m:r>
        <m:r>
          <m:t>e</m:t>
        </m:r>
        <m:r>
          <m:t>d</m:t>
        </m:r>
        <m:r>
          <m:t>t</m:t>
        </m:r>
        <m:r>
          <m:t>o</m:t>
        </m:r>
        <m:r>
          <m:t>j</m:t>
        </m:r>
        <m:r>
          <m:t>u</m:t>
        </m:r>
        <m:r>
          <m:t>s</m:t>
        </m:r>
        <m:r>
          <m:t>t</m:t>
        </m:r>
        <m:r>
          <m:rPr>
            <m:sty m:val="p"/>
          </m:rPr>
          <m:t>*</m:t>
        </m:r>
        <m:r>
          <m:rPr>
            <m:sty m:val="p"/>
          </m:rPr>
          <m:t>*</m:t>
        </m:r>
      </m:oMath>
      <w:r>
        <w:rPr>
          <w:b/>
          <w:bCs/>
        </w:rPr>
        <w:t xml:space="preserve">1.40–$1.50</w:t>
      </w:r>
      <w:r>
        <w:t xml:space="preserve">, down from $1.73 in Q1, driven by dispositions and lower capitalized interest.</w:t>
      </w:r>
    </w:p>
    <w:p>
      <w:pPr>
        <w:pStyle w:val="Compact"/>
        <w:numPr>
          <w:ilvl w:val="0"/>
          <w:numId w:val="1002"/>
        </w:numPr>
      </w:pPr>
      <w:r>
        <w:rPr>
          <w:b/>
          <w:bCs/>
        </w:rPr>
        <w:t xml:space="preserve">Occupancy: 87.7%</w:t>
      </w:r>
      <w:r>
        <w:t xml:space="preserve"> </w:t>
      </w:r>
      <w:r>
        <w:t xml:space="preserve">at 3/31/26, down 320 bps QoQ from 90.9%. FY26 year-end occupancy guide was</w:t>
      </w:r>
      <w:r>
        <w:t xml:space="preserve"> </w:t>
      </w:r>
      <w:r>
        <w:rPr>
          <w:b/>
          <w:bCs/>
        </w:rPr>
        <w:t xml:space="preserve">cut to 86.2%–87.8%</w:t>
      </w:r>
      <w:r>
        <w:t xml:space="preserve"> </w:t>
      </w:r>
      <w:r>
        <w:t xml:space="preserve">(midpoint ~87%, a 150 bps reduction).</w:t>
      </w:r>
    </w:p>
    <w:p>
      <w:pPr>
        <w:pStyle w:val="Compact"/>
        <w:numPr>
          <w:ilvl w:val="0"/>
          <w:numId w:val="1002"/>
        </w:numPr>
      </w:pPr>
      <w:r>
        <w:rPr>
          <w:b/>
          <w:bCs/>
        </w:rPr>
        <w:t xml:space="preserve">Same-property NOI: –11.9%</w:t>
      </w:r>
      <w:r>
        <w:t xml:space="preserve"> </w:t>
      </w:r>
      <w:r>
        <w:t xml:space="preserve">(–11.7% cash) in Q1; FY26 guide</w:t>
      </w:r>
      <w:r>
        <w:t xml:space="preserve"> </w:t>
      </w:r>
      <w:r>
        <w:rPr>
          <w:b/>
          <w:bCs/>
        </w:rPr>
        <w:t xml:space="preserve">worsened to –10.5% to –8.5%</w:t>
      </w:r>
      <w:r>
        <w:t xml:space="preserve">.</w:t>
      </w:r>
    </w:p>
    <w:p>
      <w:pPr>
        <w:pStyle w:val="Compact"/>
        <w:numPr>
          <w:ilvl w:val="0"/>
          <w:numId w:val="1002"/>
        </w:numPr>
      </w:pPr>
      <w:r>
        <w:rPr>
          <w:b/>
          <w:bCs/>
        </w:rPr>
        <w:t xml:space="preserve">Releasing spreads: –15.0%</w:t>
      </w:r>
      <w:r>
        <w:t xml:space="preserve"> </w:t>
      </w:r>
      <w:r>
        <w:t xml:space="preserve">(–15.8% cash) — a sharp reversal from double-digit positive spreads a year earlier; FY26 rental-rate-change guide slashed to</w:t>
      </w:r>
      <w:r>
        <w:t xml:space="preserve"> </w:t>
      </w:r>
      <w:r>
        <w:rPr>
          <w:b/>
          <w:bCs/>
        </w:rPr>
        <w:t xml:space="preserve">–9.0% to –1.0%</w:t>
      </w:r>
      <w:r>
        <w:t xml:space="preserve"> </w:t>
      </w:r>
      <w:r>
        <w:t xml:space="preserve">(GAAP).</w:t>
      </w:r>
    </w:p>
    <w:p>
      <w:pPr>
        <w:pStyle w:val="Compact"/>
        <w:numPr>
          <w:ilvl w:val="0"/>
          <w:numId w:val="1002"/>
        </w:numPr>
      </w:pPr>
      <w:r>
        <w:rPr>
          <w:b/>
          <w:bCs/>
        </w:rPr>
        <w:t xml:space="preserve">Leverage: 6.8x</w:t>
      </w:r>
      <w:r>
        <w:t xml:space="preserve"> </w:t>
      </w:r>
      <w:r>
        <w:t xml:space="preserve">net debt+pref / annualized EBITDA (elevated), targeted to fall to</w:t>
      </w:r>
      <w:r>
        <w:t xml:space="preserve"> </w:t>
      </w:r>
      <w:r>
        <w:rPr>
          <w:b/>
          <w:bCs/>
        </w:rPr>
        <w:t xml:space="preserve">5.6x–6.2x by Q4 2026</w:t>
      </w:r>
      <w:r>
        <w:t xml:space="preserve"> </w:t>
      </w:r>
      <w:r>
        <w:t xml:space="preserve">as dispositions close.</w:t>
      </w:r>
    </w:p>
    <w:p>
      <w:pPr>
        <w:pStyle w:val="Compact"/>
        <w:numPr>
          <w:ilvl w:val="0"/>
          <w:numId w:val="1002"/>
        </w:numPr>
      </w:pPr>
      <w:r>
        <w:t xml:space="preserve">**Dividend:</w:t>
      </w:r>
      <w:r>
        <w:t xml:space="preserve"> </w:t>
      </w:r>
      <m:oMath>
        <m:r>
          <m:t>0.72</m:t>
        </m:r>
        <m:r>
          <m:rPr>
            <m:sty m:val="p"/>
          </m:rPr>
          <m:t>/</m:t>
        </m:r>
        <m:r>
          <m:t>q</m:t>
        </m:r>
        <m:r>
          <m:t>u</m:t>
        </m:r>
        <m:r>
          <m:t>a</m:t>
        </m:r>
        <m:r>
          <m:t>r</m:t>
        </m:r>
        <m:r>
          <m:t>t</m:t>
        </m:r>
        <m:r>
          <m:t>e</m:t>
        </m:r>
        <m:r>
          <m:t>r</m:t>
        </m:r>
        <m:r>
          <m:rPr>
            <m:sty m:val="p"/>
          </m:rPr>
          <m:t>*</m:t>
        </m:r>
        <m:r>
          <m:rPr>
            <m:sty m:val="p"/>
          </m:rPr>
          <m:t>*</m:t>
        </m:r>
        <m:r>
          <m:rPr>
            <m:sty m:val="p"/>
          </m:rPr>
          <m:t>(</m:t>
        </m:r>
      </m:oMath>
      <w:r>
        <w:t xml:space="preserve">2.88 annualized), 42% payout ratio, ~6.2% yield.</w:t>
      </w:r>
    </w:p>
    <w:p>
      <w:pPr>
        <w:pStyle w:val="Compact"/>
        <w:numPr>
          <w:ilvl w:val="0"/>
          <w:numId w:val="1002"/>
        </w:numPr>
      </w:pPr>
      <w:r>
        <w:rPr>
          <w:b/>
          <w:bCs/>
        </w:rPr>
        <w:t xml:space="preserve">Zero public-biotech leases signed in Q1</w:t>
      </w:r>
      <w:r>
        <w:t xml:space="preserve"> </w:t>
      </w:r>
      <w:r>
        <w:t xml:space="preserve">— a first in company history and a flashing indicator of demand weakness (public biotech = ~24% of ARR).</w:t>
      </w:r>
    </w:p>
    <w:p>
      <w:r>
        <w:pict>
          <v:rect style="width:0;height:1.5pt" o:hralign="center" o:hrstd="t" o:hr="t"/>
        </w:pict>
      </w:r>
    </w:p>
    <w:bookmarkEnd w:id="12"/>
    <w:bookmarkStart w:id="21" w:name="X05c7d8c6d8f50427e13d622d113473af68af83b"/>
    <w:p>
      <w:pPr>
        <w:pStyle w:val="Heading2"/>
      </w:pPr>
      <w:r>
        <w:t xml:space="preserve">4. What to Watch in the Q2 Print</w:t>
      </w:r>
    </w:p>
    <w:bookmarkStart w:id="13" w:name="Xb720924efd9dcce6932c76f48eadca4c7c941d2"/>
    <w:p>
      <w:pPr>
        <w:pStyle w:val="Heading3"/>
      </w:pPr>
      <w:r>
        <w:t xml:space="preserve">A) Dispositions &amp; JVs — the single most important item</w:t>
      </w:r>
    </w:p>
    <w:p>
      <w:pPr>
        <w:pStyle w:val="FirstParagraph"/>
      </w:pPr>
      <w:r>
        <w:t xml:space="preserve">Management targets **</w:t>
      </w:r>
      <m:oMath>
        <m:r>
          <m:t>2.9</m:t>
        </m:r>
        <m:r>
          <m:t>B</m:t>
        </m:r>
        <m:r>
          <m:t>i</m:t>
        </m:r>
        <m:r>
          <m:t>n</m:t>
        </m:r>
        <m:r>
          <m:t>d</m:t>
        </m:r>
        <m:r>
          <m:t>i</m:t>
        </m:r>
        <m:r>
          <m:t>s</m:t>
        </m:r>
        <m:r>
          <m:t>p</m:t>
        </m:r>
        <m:r>
          <m:t>o</m:t>
        </m:r>
        <m:r>
          <m:t>s</m:t>
        </m:r>
        <m:r>
          <m:t>i</m:t>
        </m:r>
        <m:r>
          <m:t>t</m:t>
        </m:r>
        <m:r>
          <m:t>i</m:t>
        </m:r>
        <m:r>
          <m:t>o</m:t>
        </m:r>
        <m:r>
          <m:t>n</m:t>
        </m:r>
        <m:r>
          <m:t>s</m:t>
        </m:r>
        <m:r>
          <m:rPr>
            <m:sty m:val="p"/>
          </m:rPr>
          <m:t>/</m:t>
        </m:r>
        <m:r>
          <m:t>p</m:t>
        </m:r>
        <m:r>
          <m:t>a</m:t>
        </m:r>
        <m:r>
          <m:t>r</m:t>
        </m:r>
        <m:r>
          <m:t>t</m:t>
        </m:r>
        <m:r>
          <m:t>i</m:t>
        </m:r>
        <m:r>
          <m:t>a</m:t>
        </m:r>
        <m:r>
          <m:t>l</m:t>
        </m:r>
        <m:r>
          <m:rPr>
            <m:sty m:val="p"/>
          </m:rPr>
          <m:t>−</m:t>
        </m:r>
        <m:r>
          <m:t>i</m:t>
        </m:r>
        <m:r>
          <m:t>n</m:t>
        </m:r>
        <m:r>
          <m:t>t</m:t>
        </m:r>
        <m:r>
          <m:t>e</m:t>
        </m:r>
        <m:r>
          <m:t>r</m:t>
        </m:r>
        <m:r>
          <m:t>e</m:t>
        </m:r>
        <m:r>
          <m:t>s</m:t>
        </m:r>
        <m:r>
          <m:t>t</m:t>
        </m:r>
        <m:r>
          <m:t>s</m:t>
        </m:r>
        <m:r>
          <m:t>a</m:t>
        </m:r>
        <m:r>
          <m:t>l</m:t>
        </m:r>
        <m:r>
          <m:t>e</m:t>
        </m:r>
        <m:r>
          <m:t>s</m:t>
        </m:r>
        <m:r>
          <m:t>f</m:t>
        </m:r>
        <m:r>
          <m:t>o</m:t>
        </m:r>
        <m:r>
          <m:t>r</m:t>
        </m:r>
        <m:r>
          <m:t>2026</m:t>
        </m:r>
        <m:r>
          <m:rPr>
            <m:sty m:val="p"/>
          </m:rPr>
          <m:t>,</m:t>
        </m:r>
        <m:r>
          <m:t>w</m:t>
        </m:r>
        <m:r>
          <m:t>i</m:t>
        </m:r>
        <m:r>
          <m:t>t</m:t>
        </m:r>
        <m:r>
          <m:t>h</m:t>
        </m:r>
        <m:r>
          <m:t>a</m:t>
        </m:r>
        <m:r>
          <m:t>w</m:t>
        </m:r>
        <m:r>
          <m:t>e</m:t>
        </m:r>
        <m:r>
          <m:t>i</m:t>
        </m:r>
        <m:r>
          <m:t>g</m:t>
        </m:r>
        <m:r>
          <m:t>h</m:t>
        </m:r>
        <m:r>
          <m:t>t</m:t>
        </m:r>
        <m:r>
          <m:t>e</m:t>
        </m:r>
        <m:r>
          <m:t>d</m:t>
        </m:r>
        <m:r>
          <m:rPr>
            <m:sty m:val="p"/>
          </m:rPr>
          <m:t>−</m:t>
        </m:r>
        <m:r>
          <m:t>a</m:t>
        </m:r>
        <m:r>
          <m:t>v</m:t>
        </m:r>
        <m:r>
          <m:t>e</m:t>
        </m:r>
        <m:r>
          <m:t>r</m:t>
        </m:r>
        <m:r>
          <m:t>a</m:t>
        </m:r>
        <m:r>
          <m:t>g</m:t>
        </m:r>
        <m:r>
          <m:t>e</m:t>
        </m:r>
        <m:r>
          <m:t>c</m:t>
        </m:r>
        <m:r>
          <m:t>o</m:t>
        </m:r>
        <m:r>
          <m:t>m</m:t>
        </m:r>
        <m:r>
          <m:t>p</m:t>
        </m:r>
        <m:r>
          <m:t>l</m:t>
        </m:r>
        <m:r>
          <m:t>e</m:t>
        </m:r>
        <m:r>
          <m:t>t</m:t>
        </m:r>
        <m:r>
          <m:t>i</m:t>
        </m:r>
        <m:r>
          <m:t>o</m:t>
        </m:r>
        <m:r>
          <m:t>n</m:t>
        </m:r>
        <m:r>
          <m:t>d</m:t>
        </m:r>
        <m:r>
          <m:t>a</m:t>
        </m:r>
        <m:r>
          <m:t>t</m:t>
        </m:r>
        <m:r>
          <m:t>e</m:t>
        </m:r>
        <m:r>
          <m:t>o</m:t>
        </m:r>
        <m:r>
          <m:t>f</m:t>
        </m:r>
        <m:r>
          <m:t> </m:t>
        </m:r>
        <m:r>
          <m:t>A</m:t>
        </m:r>
        <m:r>
          <m:t>u</m:t>
        </m:r>
        <m:r>
          <m:t>g</m:t>
        </m:r>
        <m:r>
          <m:t>u</m:t>
        </m:r>
        <m:r>
          <m:t>s</m:t>
        </m:r>
        <m:r>
          <m:t>t</m:t>
        </m:r>
        <m:r>
          <m:t>2026</m:t>
        </m:r>
        <m:r>
          <m:rPr>
            <m:sty m:val="p"/>
          </m:rPr>
          <m:t>*</m:t>
        </m:r>
        <m:r>
          <m:rPr>
            <m:sty m:val="p"/>
          </m:rPr>
          <m:t>*</m:t>
        </m:r>
        <m:r>
          <m:rPr>
            <m:sty m:val="p"/>
          </m:rPr>
          <m:t>—</m:t>
        </m:r>
        <m:r>
          <m:t>m</m:t>
        </m:r>
        <m:r>
          <m:t>e</m:t>
        </m:r>
        <m:r>
          <m:t>a</m:t>
        </m:r>
        <m:r>
          <m:t>n</m:t>
        </m:r>
        <m:r>
          <m:t>i</m:t>
        </m:r>
        <m:r>
          <m:t>n</m:t>
        </m:r>
        <m:r>
          <m:t>g</m:t>
        </m:r>
        <m:r>
          <m:t>Q</m:t>
        </m:r>
        <m:r>
          <m:t>2</m:t>
        </m:r>
        <m:r>
          <m:rPr>
            <m:sty m:val="p"/>
          </m:rPr>
          <m:t>/</m:t>
        </m:r>
        <m:r>
          <m:t>Q</m:t>
        </m:r>
        <m:r>
          <m:t>3</m:t>
        </m:r>
        <m:r>
          <m:t>i</m:t>
        </m:r>
        <m:r>
          <m:t>s</m:t>
        </m:r>
        <m:r>
          <m:t>e</m:t>
        </m:r>
        <m:r>
          <m:t>x</m:t>
        </m:r>
        <m:r>
          <m:t>a</m:t>
        </m:r>
        <m:r>
          <m:t>c</m:t>
        </m:r>
        <m:r>
          <m:t>t</m:t>
        </m:r>
        <m:r>
          <m:t>l</m:t>
        </m:r>
        <m:r>
          <m:t>y</m:t>
        </m:r>
        <m:r>
          <m:t>w</m:t>
        </m:r>
        <m:r>
          <m:t>h</m:t>
        </m:r>
        <m:r>
          <m:t>e</m:t>
        </m:r>
        <m:r>
          <m:t>n</m:t>
        </m:r>
        <m:r>
          <m:t>t</m:t>
        </m:r>
        <m:r>
          <m:t>h</m:t>
        </m:r>
        <m:r>
          <m:t>e</m:t>
        </m:r>
        <m:r>
          <m:t>b</m:t>
        </m:r>
        <m:r>
          <m:t>u</m:t>
        </m:r>
        <m:r>
          <m:t>l</m:t>
        </m:r>
        <m:r>
          <m:t>k</m:t>
        </m:r>
        <m:r>
          <m:t>s</m:t>
        </m:r>
        <m:r>
          <m:t>h</m:t>
        </m:r>
        <m:r>
          <m:t>o</m:t>
        </m:r>
        <m:r>
          <m:t>u</m:t>
        </m:r>
        <m:r>
          <m:t>l</m:t>
        </m:r>
        <m:r>
          <m:t>d</m:t>
        </m:r>
        <m:r>
          <m:t>s</m:t>
        </m:r>
        <m:r>
          <m:t>h</m:t>
        </m:r>
        <m:r>
          <m:t>o</m:t>
        </m:r>
        <m:r>
          <m:t>w</m:t>
        </m:r>
        <m:r>
          <m:t>u</m:t>
        </m:r>
        <m:r>
          <m:t>p</m:t>
        </m:r>
        <m:r>
          <m:rPr>
            <m:sty m:val="p"/>
          </m:rPr>
          <m:t>.</m:t>
        </m:r>
        <m:r>
          <m:t>A</m:t>
        </m:r>
        <m:r>
          <m:t>s</m:t>
        </m:r>
        <m:r>
          <m:t>o</m:t>
        </m:r>
        <m:r>
          <m:t>f</m:t>
        </m:r>
        <m:r>
          <m:t>t</m:t>
        </m:r>
        <m:r>
          <m:t>h</m:t>
        </m:r>
        <m:r>
          <m:t>e</m:t>
        </m:r>
        <m:r>
          <m:t>Q</m:t>
        </m:r>
        <m:r>
          <m:t>1</m:t>
        </m:r>
        <m:r>
          <m:t>u</m:t>
        </m:r>
        <m:r>
          <m:t>p</m:t>
        </m:r>
        <m:r>
          <m:t>d</m:t>
        </m:r>
        <m:r>
          <m:t>a</m:t>
        </m:r>
        <m:r>
          <m:t>t</m:t>
        </m:r>
        <m:r>
          <m:t>e</m:t>
        </m:r>
        <m:r>
          <m:rPr>
            <m:sty m:val="p"/>
          </m:rPr>
          <m:t>,</m:t>
        </m:r>
        <m:r>
          <m:t> </m:t>
        </m:r>
        <m:r>
          <m:t>80</m:t>
        </m:r>
      </m:oMath>
      <w:r>
        <w:t xml:space="preserve">2.33B) was "pending or identified and in process," but only ~$151M was actually completed/pending under hard deposits/LOIs.</w:t>
      </w:r>
      <w:r>
        <w:t xml:space="preserve"> </w:t>
      </w:r>
      <w:r>
        <w:rPr>
          <w:b/>
          <w:bCs/>
        </w:rPr>
        <w:t xml:space="preserve">Watch for how much has actually closed</w:t>
      </w:r>
      <w:r>
        <w:t xml:space="preserve">, and the mix shift toward</w:t>
      </w:r>
      <w:r>
        <w:t xml:space="preserve"> </w:t>
      </w:r>
      <w:r>
        <w:rPr>
          <w:b/>
          <w:bCs/>
        </w:rPr>
        <w:t xml:space="preserve">joint ventures on core assets</w:t>
      </w:r>
      <w:r>
        <w:t xml:space="preserve"> </w:t>
      </w:r>
      <w:r>
        <w:t xml:space="preserve">— management flagged growing institutional "core" capital (domestic + international) that lets them lower cost of capital vs. selling outright. This funds debt reduction and is the linchpin of the deleveraging story. Slippage here is the biggest risk to the thesis.</w:t>
      </w:r>
    </w:p>
    <w:bookmarkEnd w:id="13"/>
    <w:bookmarkStart w:id="14" w:name="b-does-the-640-ffo-guide-hold"/>
    <w:p>
      <w:pPr>
        <w:pStyle w:val="Heading3"/>
      </w:pPr>
      <w:r>
        <w:t xml:space="preserve">B) Does the $6.40 FFO guide hold?</w:t>
      </w:r>
    </w:p>
    <w:p>
      <w:pPr>
        <w:pStyle w:val="FirstParagraph"/>
      </w:pPr>
      <w:r>
        <w:t xml:space="preserve">Given the built-in step-down to a $1.45 Q4 midpoint, the full-year math depends heavily on disposition timing and capitalized-interest decisions. Any further cut would be a negative surprise; a reaffirm would be reassuring. Also watch</w:t>
      </w:r>
      <w:r>
        <w:t xml:space="preserve"> </w:t>
      </w:r>
      <w:r>
        <w:rPr>
          <w:b/>
          <w:bCs/>
        </w:rPr>
        <w:t xml:space="preserve">capitalized interest</w:t>
      </w:r>
      <w:r>
        <w:t xml:space="preserve"> </w:t>
      </w:r>
      <w:r>
        <w:t xml:space="preserve">(guided down; a</w:t>
      </w:r>
      <w:r>
        <w:t xml:space="preserve"> </w:t>
      </w:r>
      <m:oMath>
        <m:r>
          <m:t>5</m:t>
        </m:r>
        <m:r>
          <m:t>M</m:t>
        </m:r>
        <m:r>
          <m:t>c</m:t>
        </m:r>
        <m:r>
          <m:t>u</m:t>
        </m:r>
        <m:r>
          <m:t>t</m:t>
        </m:r>
        <m:r>
          <m:t>a</m:t>
        </m:r>
        <m:r>
          <m:t>t</m:t>
        </m:r>
        <m:r>
          <m:t>Q</m:t>
        </m:r>
        <m:r>
          <m:t>1</m:t>
        </m:r>
        <m:r>
          <m:t>a</m:t>
        </m:r>
        <m:r>
          <m:t>l</m:t>
        </m:r>
        <m:r>
          <m:t>r</m:t>
        </m:r>
        <m:r>
          <m:t>e</m:t>
        </m:r>
        <m:r>
          <m:t>a</m:t>
        </m:r>
        <m:r>
          <m:t>d</m:t>
        </m:r>
        <m:r>
          <m:t>y</m:t>
        </m:r>
        <m:r>
          <m:t>t</m:t>
        </m:r>
        <m:r>
          <m:t>r</m:t>
        </m:r>
        <m:r>
          <m:t>i</m:t>
        </m:r>
        <m:r>
          <m:t>m</m:t>
        </m:r>
        <m:r>
          <m:t>m</m:t>
        </m:r>
        <m:r>
          <m:t>e</m:t>
        </m:r>
        <m:r>
          <m:t>d</m:t>
        </m:r>
        <m:r>
          <m:t>t</m:t>
        </m:r>
        <m:r>
          <m:t>h</m:t>
        </m:r>
        <m:r>
          <m:t>e</m:t>
        </m:r>
        <m:r>
          <m:t>Q</m:t>
        </m:r>
        <m:r>
          <m:t>4</m:t>
        </m:r>
        <m:r>
          <m:t>r</m:t>
        </m:r>
        <m:r>
          <m:t>u</m:t>
        </m:r>
        <m:r>
          <m:t>n</m:t>
        </m:r>
        <m:r>
          <m:rPr>
            <m:sty m:val="p"/>
          </m:rPr>
          <m:t>−</m:t>
        </m:r>
        <m:r>
          <m:t>r</m:t>
        </m:r>
        <m:r>
          <m:t>a</m:t>
        </m:r>
        <m:r>
          <m:t>t</m:t>
        </m:r>
        <m:r>
          <m:t>e</m:t>
        </m:r>
        <m:r>
          <m:t>b</m:t>
        </m:r>
        <m:r>
          <m:t>y</m:t>
        </m:r>
        <m:r>
          <m:t> </m:t>
        </m:r>
      </m:oMath>
      <w:r>
        <w:t xml:space="preserve">0.05) as development projects are paused/delivered.</w:t>
      </w:r>
    </w:p>
    <w:bookmarkEnd w:id="14"/>
    <w:bookmarkStart w:id="15" w:name="c-occupancy--q2-is-set-up-to-be-soft"/>
    <w:p>
      <w:pPr>
        <w:pStyle w:val="Heading3"/>
      </w:pPr>
      <w:r>
        <w:t xml:space="preserve">C) Occupancy — Q2 is set up to be soft</w:t>
      </w:r>
    </w:p>
    <w:p>
      <w:pPr>
        <w:pStyle w:val="FirstParagraph"/>
      </w:pPr>
      <w:r>
        <w:t xml:space="preserve">Management explicitly guided that</w:t>
      </w:r>
      <w:r>
        <w:t xml:space="preserve"> </w:t>
      </w:r>
      <w:r>
        <w:rPr>
          <w:b/>
          <w:bCs/>
        </w:rPr>
        <w:t xml:space="preserve">~45% of the remaining 747K SF of 2026 key expirations hit in Q2</w:t>
      </w:r>
      <w:r>
        <w:t xml:space="preserve">, "which should put pressure on occupancy for 2Q26." The relief valve is</w:t>
      </w:r>
      <w:r>
        <w:t xml:space="preserve"> </w:t>
      </w:r>
      <w:r>
        <w:rPr>
          <w:b/>
          <w:bCs/>
        </w:rPr>
        <w:t xml:space="preserve">1.1M SF of already-leased-but-not-yet-delivered space (~$68M ARR, ~3.2% occupancy benefit) delivering ~September 2026</w:t>
      </w:r>
      <w:r>
        <w:t xml:space="preserve"> </w:t>
      </w:r>
      <w:r>
        <w:t xml:space="preserve">— so 2H should improve. Watch whether occupancy dips toward/below the low end (~86%) and management's confidence in the September deliveries.</w:t>
      </w:r>
    </w:p>
    <w:bookmarkEnd w:id="15"/>
    <w:bookmarkStart w:id="16" w:name="X7879b8740385db00f8e1697fb0a954d81bdb7cb"/>
    <w:p>
      <w:pPr>
        <w:pStyle w:val="Heading3"/>
      </w:pPr>
      <w:r>
        <w:t xml:space="preserve">D) Leasing volume &amp; the public-biotech signal</w:t>
      </w:r>
    </w:p>
    <w:p>
      <w:pPr>
        <w:pStyle w:val="FirstParagraph"/>
      </w:pPr>
      <w:r>
        <w:t xml:space="preserve">Q1 volume was weak at 647K SF, but management gave an unusual forward indication of</w:t>
      </w:r>
      <w:r>
        <w:t xml:space="preserve"> </w:t>
      </w:r>
      <w:r>
        <w:rPr>
          <w:b/>
          <w:bCs/>
        </w:rPr>
        <w:t xml:space="preserve">~900K SF for Q2</w:t>
      </w:r>
      <w:r>
        <w:t xml:space="preserve">. Two tells to look for: (1) did volume actually land near/above 900K, and (2)</w:t>
      </w:r>
      <w:r>
        <w:t xml:space="preserve"> </w:t>
      </w:r>
      <w:r>
        <w:rPr>
          <w:b/>
          <w:bCs/>
        </w:rPr>
        <w:t xml:space="preserve">did public-biotech leasing return</w:t>
      </w:r>
      <w:r>
        <w:t xml:space="preserve"> </w:t>
      </w:r>
      <w:r>
        <w:t xml:space="preserve">after the Q1 zero — management called Q1 "a one-quarter blip." A rebound would be a genuinely constructive data point; a second zero would be alarming.</w:t>
      </w:r>
    </w:p>
    <w:bookmarkEnd w:id="16"/>
    <w:bookmarkStart w:id="17" w:name="e-releasing-spreads"/>
    <w:p>
      <w:pPr>
        <w:pStyle w:val="Heading3"/>
      </w:pPr>
      <w:r>
        <w:t xml:space="preserve">E) Releasing spreads</w:t>
      </w:r>
    </w:p>
    <w:p>
      <w:pPr>
        <w:pStyle w:val="FirstParagraph"/>
      </w:pPr>
      <w:r>
        <w:t xml:space="preserve">Q1's –15% was distorted by a couple of specific deals (a Watertown entertainment-studio renewal, a Torrey Pines wind-down backfill). Watch the underlying trend — management's own FY guide now contemplates spreads as negative as –9% GAAP / –15% cash.</w:t>
      </w:r>
    </w:p>
    <w:bookmarkEnd w:id="17"/>
    <w:bookmarkStart w:id="18" w:name="f-tenant-health--watch-list"/>
    <w:p>
      <w:pPr>
        <w:pStyle w:val="Heading3"/>
      </w:pPr>
      <w:r>
        <w:t xml:space="preserve">F) Tenant health / watch list</w:t>
      </w:r>
    </w:p>
    <w:p>
      <w:pPr>
        <w:pStyle w:val="FirstParagraph"/>
      </w:pPr>
      <w:r>
        <w:t xml:space="preserve">The wind-down reserve crept from ~</w:t>
      </w:r>
      <m:oMath>
        <m:r>
          <m:t>23</m:t>
        </m:r>
        <m:r>
          <m:t>M</m:t>
        </m:r>
        <m:r>
          <m:t>t</m:t>
        </m:r>
        <m:r>
          <m:t>o</m:t>
        </m:r>
        <m:r>
          <m:rPr>
            <m:sty m:val="p"/>
          </m:rPr>
          <m:t>*</m:t>
        </m:r>
        <m:r>
          <m:rPr>
            <m:sty m:val="p"/>
          </m:rPr>
          <m:t>*</m:t>
        </m:r>
      </m:oMath>
      <w:r>
        <w:t xml:space="preserve">25–30M** as of Q1, with management saying "at least a similar level" of FFO reduction may recur through 2026 and beyond. Any further increase signals worsening tenant credit stress across private and public biotech.</w:t>
      </w:r>
    </w:p>
    <w:bookmarkEnd w:id="18"/>
    <w:bookmarkStart w:id="19" w:name="g-the-advanced-technology-pivot"/>
    <w:p>
      <w:pPr>
        <w:pStyle w:val="Heading3"/>
      </w:pPr>
      <w:r>
        <w:t xml:space="preserve">G) The "advanced technology" pivot</w:t>
      </w:r>
    </w:p>
    <w:p>
      <w:pPr>
        <w:pStyle w:val="FirstParagraph"/>
      </w:pPr>
      <w:r>
        <w:t xml:space="preserve">A recurring theme: converting struggling lab/redevelopment projects (311 Arsenal, 3000 Minuteman, 40 Sylvan Road) to lower-CapEx</w:t>
      </w:r>
      <w:r>
        <w:t xml:space="preserve"> </w:t>
      </w:r>
      <w:r>
        <w:rPr>
          <w:b/>
          <w:bCs/>
        </w:rPr>
        <w:t xml:space="preserve">advanced-technology</w:t>
      </w:r>
      <w:r>
        <w:t xml:space="preserve"> </w:t>
      </w:r>
      <w:r>
        <w:t xml:space="preserve">uses (data/secure/high-power tenants — think the Amazon/Leidos tenancy at Campus Point). Watch for new LOIs/leases here — it reduces capital needs and pulls forward revenue, but at lower rents than lab.</w:t>
      </w:r>
    </w:p>
    <w:bookmarkEnd w:id="19"/>
    <w:bookmarkStart w:id="20" w:name="h-2027-setup-early-breadcrumbs"/>
    <w:p>
      <w:pPr>
        <w:pStyle w:val="Heading3"/>
      </w:pPr>
      <w:r>
        <w:t xml:space="preserve">H) 2027 setup (early breadcrumbs)</w:t>
      </w:r>
    </w:p>
    <w:p>
      <w:pPr>
        <w:pStyle w:val="FirstParagraph"/>
      </w:pPr>
      <w:r>
        <w:t xml:space="preserve">Management has flagged **1.5M SF of 2027 expirations (~</w:t>
      </w:r>
      <m:oMath>
        <m:r>
          <m:t>97.4</m:t>
        </m:r>
        <m:r>
          <m:t>M</m:t>
        </m:r>
        <m:r>
          <m:t>A</m:t>
        </m:r>
        <m:r>
          <m:t>R</m:t>
        </m:r>
        <m:r>
          <m:t>R</m:t>
        </m:r>
        <m:r>
          <m:rPr>
            <m:sty m:val="p"/>
          </m:rPr>
          <m:t>)</m:t>
        </m:r>
        <m:r>
          <m:t>e</m:t>
        </m:r>
        <m:r>
          <m:t>x</m:t>
        </m:r>
        <m:r>
          <m:t>p</m:t>
        </m:r>
        <m:r>
          <m:t>e</m:t>
        </m:r>
        <m:r>
          <m:t>c</m:t>
        </m:r>
        <m:r>
          <m:t>t</m:t>
        </m:r>
        <m:r>
          <m:t>e</m:t>
        </m:r>
        <m:r>
          <m:t>d</m:t>
        </m:r>
        <m:r>
          <m:t>t</m:t>
        </m:r>
        <m:r>
          <m:t>o</m:t>
        </m:r>
        <m:r>
          <m:t>h</m:t>
        </m:r>
        <m:r>
          <m:t>a</m:t>
        </m:r>
        <m:r>
          <m:t>v</m:t>
        </m:r>
        <m:r>
          <m:t>e</m:t>
        </m:r>
        <m:r>
          <m:t>6</m:t>
        </m:r>
        <m:r>
          <m:rPr>
            <m:sty m:val="p"/>
          </m:rPr>
          <m:t>–</m:t>
        </m:r>
        <m:r>
          <m:t>24</m:t>
        </m:r>
        <m:r>
          <m:t>m</m:t>
        </m:r>
        <m:r>
          <m:t>o</m:t>
        </m:r>
        <m:r>
          <m:t>n</m:t>
        </m:r>
        <m:r>
          <m:t>t</m:t>
        </m:r>
        <m:r>
          <m:t>h</m:t>
        </m:r>
        <m:r>
          <m:t>s</m:t>
        </m:r>
        <m:r>
          <m:t>o</m:t>
        </m:r>
        <m:r>
          <m:t>f</m:t>
        </m:r>
        <m:r>
          <m:t>d</m:t>
        </m:r>
        <m:r>
          <m:t>o</m:t>
        </m:r>
        <m:r>
          <m:t>w</m:t>
        </m:r>
        <m:r>
          <m:t>n</m:t>
        </m:r>
        <m:r>
          <m:t>t</m:t>
        </m:r>
        <m:r>
          <m:t>i</m:t>
        </m:r>
        <m:r>
          <m:t>m</m:t>
        </m:r>
        <m:r>
          <m:t>e</m:t>
        </m:r>
        <m:r>
          <m:rPr>
            <m:sty m:val="p"/>
          </m:rPr>
          <m:t>*</m:t>
        </m:r>
        <m:r>
          <m:rPr>
            <m:sty m:val="p"/>
          </m:rPr>
          <m:t>*</m:t>
        </m:r>
        <m:r>
          <m:rPr>
            <m:sty m:val="p"/>
          </m:rPr>
          <m:t>,</m:t>
        </m:r>
        <m:r>
          <m:t>a</m:t>
        </m:r>
        <m:r>
          <m:t>n</m:t>
        </m:r>
        <m:r>
          <m:t>u</m:t>
        </m:r>
        <m:r>
          <m:t>m</m:t>
        </m:r>
        <m:r>
          <m:t>b</m:t>
        </m:r>
        <m:r>
          <m:t>e</m:t>
        </m:r>
        <m:r>
          <m:t>r</m:t>
        </m:r>
        <m:r>
          <m:t>t</m:t>
        </m:r>
        <m:r>
          <m:t>h</m:t>
        </m:r>
        <m:r>
          <m:t>a</m:t>
        </m:r>
        <m:r>
          <m:t>t</m:t>
        </m:r>
        <m:r>
          <m:t>a</m:t>
        </m:r>
        <m:r>
          <m:t>l</m:t>
        </m:r>
        <m:r>
          <m:t>r</m:t>
        </m:r>
        <m:r>
          <m:t>e</m:t>
        </m:r>
        <m:r>
          <m:t>a</m:t>
        </m:r>
        <m:r>
          <m:t>d</m:t>
        </m:r>
        <m:r>
          <m:t>y</m:t>
        </m:r>
        <m:r>
          <m:t>c</m:t>
        </m:r>
        <m:r>
          <m:t>r</m:t>
        </m:r>
        <m:r>
          <m:t>e</m:t>
        </m:r>
        <m:r>
          <m:t>p</m:t>
        </m:r>
        <m:r>
          <m:t>t</m:t>
        </m:r>
        <m:r>
          <m:t>u</m:t>
        </m:r>
        <m:r>
          <m:t>p</m:t>
        </m:r>
        <m:r>
          <m:rPr>
            <m:sty m:val="p"/>
          </m:rPr>
          <m:t>(</m:t>
        </m:r>
        <m:r>
          <m:t>a</m:t>
        </m:r>
        <m:r>
          <m:t> </m:t>
        </m:r>
      </m:oMath>
      <w:r>
        <w:t xml:space="preserve">27M Waltham tenant moved into this bucket). No 2027 guidance until the December 2026 Investor Day, but any color on retention/backfill progress on this block matters for the forward earnings trajectory — several analysts fear 2027 could look structurally similar to 2026.</w:t>
      </w:r>
    </w:p>
    <w:p>
      <w:r>
        <w:pict>
          <v:rect style="width:0;height:1.5pt" o:hralign="center" o:hrstd="t" o:hr="t"/>
        </w:pict>
      </w:r>
    </w:p>
    <w:bookmarkEnd w:id="20"/>
    <w:bookmarkEnd w:id="21"/>
    <w:bookmarkStart w:id="22" w:name="Xd04dbff041719af3e13fdd59afc730051cfb142"/>
    <w:p>
      <w:pPr>
        <w:pStyle w:val="Heading2"/>
      </w:pPr>
      <w:r>
        <w:t xml:space="preserve">5. Balance Sheet — the defensive anchor</w:t>
      </w:r>
    </w:p>
    <w:p>
      <w:pPr>
        <w:pStyle w:val="FirstParagraph"/>
      </w:pPr>
      <w:r>
        <w:t xml:space="preserve">This is where ARE is genuinely differentiated and where bulls take comfort:</w:t>
      </w:r>
    </w:p>
    <w:p>
      <w:pPr>
        <w:pStyle w:val="Compact"/>
        <w:numPr>
          <w:ilvl w:val="0"/>
          <w:numId w:val="1003"/>
        </w:numPr>
      </w:pPr>
      <w:r>
        <w:rPr>
          <w:b/>
          <w:bCs/>
        </w:rPr>
        <w:t xml:space="preserve">~$4.2B liquidity</w:t>
      </w:r>
      <w:r>
        <w:t xml:space="preserve">; only</w:t>
      </w:r>
      <w:r>
        <w:t xml:space="preserve"> </w:t>
      </w:r>
      <w:r>
        <w:rPr>
          <w:b/>
          <w:bCs/>
        </w:rPr>
        <w:t xml:space="preserve">9% of total debt matures through 2028</w:t>
      </w:r>
      <w:r>
        <w:t xml:space="preserve">.</w:t>
      </w:r>
    </w:p>
    <w:p>
      <w:pPr>
        <w:pStyle w:val="Compact"/>
        <w:numPr>
          <w:ilvl w:val="0"/>
          <w:numId w:val="1003"/>
        </w:numPr>
      </w:pPr>
      <w:r>
        <w:rPr>
          <w:b/>
          <w:bCs/>
        </w:rPr>
        <w:t xml:space="preserve">10.0-year weighted-average debt maturity — the longest among all S&amp;P 500 REITs</w:t>
      </w:r>
      <w:r>
        <w:t xml:space="preserve"> </w:t>
      </w:r>
      <w:r>
        <w:t xml:space="preserve">— at a ~4.06% weighted rate, 96%+ fixed.</w:t>
      </w:r>
    </w:p>
    <w:p>
      <w:pPr>
        <w:pStyle w:val="Compact"/>
        <w:numPr>
          <w:ilvl w:val="0"/>
          <w:numId w:val="1003"/>
        </w:numPr>
      </w:pPr>
      <w:r>
        <w:t xml:space="preserve">Top-15% credit rating among U.S. REITs (</w:t>
      </w:r>
      <w:r>
        <w:rPr>
          <w:b/>
          <w:bCs/>
        </w:rPr>
        <w:t xml:space="preserve">Baa1/BBB+</w:t>
      </w:r>
      <w:r>
        <w:t xml:space="preserve">, both</w:t>
      </w:r>
      <w:r>
        <w:t xml:space="preserve"> </w:t>
      </w:r>
      <w:r>
        <w:rPr>
          <w:i/>
          <w:iCs/>
        </w:rPr>
        <w:t xml:space="preserve">negative</w:t>
      </w:r>
      <w:r>
        <w:t xml:space="preserve"> </w:t>
      </w:r>
      <w:r>
        <w:t xml:space="preserve">outlook — watch for any agency action).</w:t>
      </w:r>
    </w:p>
    <w:p>
      <w:pPr>
        <w:pStyle w:val="Compact"/>
        <w:numPr>
          <w:ilvl w:val="0"/>
          <w:numId w:val="1003"/>
        </w:numPr>
      </w:pPr>
      <w:r>
        <w:t xml:space="preserve">Opportunistic</w:t>
      </w:r>
      <w:r>
        <w:t xml:space="preserve"> </w:t>
      </w:r>
      <w:r>
        <w:rPr>
          <w:b/>
          <w:bCs/>
        </w:rPr>
        <w:t xml:space="preserve">February 2026 tender</w:t>
      </w:r>
      <w:r>
        <w:t xml:space="preserve">: repurchased $1.33B of long-dated notes at a ~28% discount, booking a $366M gain and modestly cutting leverage.</w:t>
      </w:r>
    </w:p>
    <w:p>
      <w:pPr>
        <w:pStyle w:val="Compact"/>
        <w:numPr>
          <w:ilvl w:val="0"/>
          <w:numId w:val="1003"/>
        </w:numPr>
      </w:pPr>
      <w:r>
        <w:rPr>
          <w:b/>
          <w:bCs/>
        </w:rPr>
        <w:t xml:space="preserve">G&amp;A discipline</w:t>
      </w:r>
      <w:r>
        <w:t xml:space="preserve">: ~$76M cumulative savings targeted across 2025–2026 vs. 2024; G&amp;A at ~6% of NOI vs. ~14% S&amp;P 500 REIT average.</w:t>
      </w:r>
    </w:p>
    <w:p>
      <w:pPr>
        <w:pStyle w:val="FirstParagraph"/>
      </w:pPr>
      <w:r>
        <w:t xml:space="preserve">The negative-outlook ratings and elevated 6.8x leverage are precisely why the disposition execution (Section 4A) is so central — the market wants to see leverage actually trending back into the 5.6x–6.2x target zone.</w:t>
      </w:r>
    </w:p>
    <w:p>
      <w:r>
        <w:pict>
          <v:rect style="width:0;height:1.5pt" o:hralign="center" o:hrstd="t" o:hr="t"/>
        </w:pict>
      </w:r>
    </w:p>
    <w:bookmarkEnd w:id="22"/>
    <w:bookmarkStart w:id="23" w:name="Xc3ed4b43e3bcd4f8db0cbf9b6dce7cffd770afb"/>
    <w:p>
      <w:pPr>
        <w:pStyle w:val="Heading2"/>
      </w:pPr>
      <w:r>
        <w:t xml:space="preserve">6. Quick Scorecard — Bull vs. Bear</w:t>
      </w:r>
    </w:p>
    <w:p>
      <w:pPr>
        <w:pStyle w:val="FirstParagraph"/>
      </w:pPr>
      <w:r>
        <w:rPr>
          <w:b/>
          <w:bCs/>
        </w:rPr>
        <w:t xml:space="preserve">Bull case</w:t>
      </w:r>
    </w:p>
    <w:p>
      <w:pPr>
        <w:pStyle w:val="Compact"/>
        <w:numPr>
          <w:ilvl w:val="0"/>
          <w:numId w:val="1004"/>
        </w:numPr>
      </w:pPr>
      <w:r>
        <w:t xml:space="preserve">Trades near multi-year lows; ~6% covered dividend (42% payout).</w:t>
      </w:r>
    </w:p>
    <w:p>
      <w:pPr>
        <w:pStyle w:val="Compact"/>
        <w:numPr>
          <w:ilvl w:val="0"/>
          <w:numId w:val="1004"/>
        </w:numPr>
      </w:pPr>
      <w:r>
        <w:t xml:space="preserve">Fortress balance sheet, longest maturities in the S&amp;P 500 REIT universe.</w:t>
      </w:r>
    </w:p>
    <w:p>
      <w:pPr>
        <w:pStyle w:val="Compact"/>
        <w:numPr>
          <w:ilvl w:val="0"/>
          <w:numId w:val="1004"/>
        </w:numPr>
      </w:pPr>
      <w:r>
        <w:t xml:space="preserve">Megacampus platform = 78% of ARR; top-20 tenants ~87% IG/large-cap with ~9.9-yr WALT; 99.9% Q1 rent collections.</w:t>
      </w:r>
    </w:p>
    <w:p>
      <w:pPr>
        <w:pStyle w:val="Compact"/>
        <w:numPr>
          <w:ilvl w:val="0"/>
          <w:numId w:val="1004"/>
        </w:numPr>
      </w:pPr>
      <w:r>
        <w:t xml:space="preserve">Emerging "core" JV capital lowering cost of capital; record-setting asset sales (e.g., $1,645/SF Mission Bay sale) validate underlying asset value.</w:t>
      </w:r>
    </w:p>
    <w:p>
      <w:pPr>
        <w:pStyle w:val="FirstParagraph"/>
      </w:pPr>
      <w:r>
        <w:rPr>
          <w:b/>
          <w:bCs/>
        </w:rPr>
        <w:t xml:space="preserve">Bear case</w:t>
      </w:r>
    </w:p>
    <w:p>
      <w:pPr>
        <w:pStyle w:val="Compact"/>
        <w:numPr>
          <w:ilvl w:val="0"/>
          <w:numId w:val="1005"/>
        </w:numPr>
      </w:pPr>
      <w:r>
        <w:t xml:space="preserve">Occupancy still falling with no clear trough; 2H26 recovery depends on ~1.1M SF delivering on schedule.</w:t>
      </w:r>
    </w:p>
    <w:p>
      <w:pPr>
        <w:pStyle w:val="Compact"/>
        <w:numPr>
          <w:ilvl w:val="0"/>
          <w:numId w:val="1005"/>
        </w:numPr>
      </w:pPr>
      <w:r>
        <w:t xml:space="preserve">Negative same-store NOI and negative releasing spreads.</w:t>
      </w:r>
    </w:p>
    <w:p>
      <w:pPr>
        <w:pStyle w:val="Compact"/>
        <w:numPr>
          <w:ilvl w:val="0"/>
          <w:numId w:val="1005"/>
        </w:numPr>
      </w:pPr>
      <w:r>
        <w:t xml:space="preserve">Public/private biotech demand structurally weak (funding, FDA leadership turmoil, NIH uncertainty, China competition).</w:t>
      </w:r>
    </w:p>
    <w:p>
      <w:pPr>
        <w:pStyle w:val="Compact"/>
        <w:numPr>
          <w:ilvl w:val="0"/>
          <w:numId w:val="1005"/>
        </w:numPr>
      </w:pPr>
      <w:r>
        <w:t xml:space="preserve">FFO on a declining quarterly path; execution risk on $2.9B of sales; rising tenant wind-down reserve; 2027 expiration cliff looming.</w:t>
      </w:r>
    </w:p>
    <w:p>
      <w:r>
        <w:pict>
          <v:rect style="width:0;height:1.5pt" o:hralign="center" o:hrstd="t" o:hr="t"/>
        </w:pict>
      </w:r>
    </w:p>
    <w:bookmarkEnd w:id="23"/>
    <w:bookmarkStart w:id="24" w:name="X58405cfeb236528800c384489c48fd77eb7236a"/>
    <w:p>
      <w:pPr>
        <w:pStyle w:val="Heading2"/>
      </w:pPr>
      <w:r>
        <w:t xml:space="preserve">7. Bottom Line for Investors</w:t>
      </w:r>
    </w:p>
    <w:p>
      <w:pPr>
        <w:pStyle w:val="FirstParagraph"/>
      </w:pPr>
      <w:r>
        <w:t xml:space="preserve">This is not a "beat-and-raise" story — it's a</w:t>
      </w:r>
      <w:r>
        <w:t xml:space="preserve"> </w:t>
      </w:r>
      <w:r>
        <w:rPr>
          <w:b/>
          <w:bCs/>
        </w:rPr>
        <w:t xml:space="preserve">stabilization and de-risking</w:t>
      </w:r>
      <w:r>
        <w:t xml:space="preserve"> </w:t>
      </w:r>
      <w:r>
        <w:t xml:space="preserve">story. The market already knows fundamentals (occupancy, same-store NOI, spreads) are ugly and expected to stay soft into 2H26. What will move the stock is</w:t>
      </w:r>
      <w:r>
        <w:t xml:space="preserve"> </w:t>
      </w:r>
      <w:r>
        <w:rPr>
          <w:b/>
          <w:bCs/>
        </w:rPr>
        <w:t xml:space="preserve">evidence the plan is working</w:t>
      </w:r>
      <w:r>
        <w:t xml:space="preserve">: hard disposition/JV closings that de-lever the balance sheet, a</w:t>
      </w:r>
      <w:r>
        <w:t xml:space="preserve"> </w:t>
      </w:r>
      <w:r>
        <w:rPr>
          <w:b/>
          <w:bCs/>
        </w:rPr>
        <w:t xml:space="preserve">held (not cut) $6.40 FFO guide</w:t>
      </w:r>
      <w:r>
        <w:t xml:space="preserve">, a return of public-biotech leasing, and confidence that the ~1.1M SF of September deliveries and 2027 backfills are on track. A clean update on those fronts could re-rate an under-owned, heavily-shorted narrative; continued disposition slippage or another guide cut would validate the bears' "no trough for years" thesis and pressure the still-negative-outlook credit ratings.</w:t>
      </w:r>
    </w:p>
    <w:p>
      <w:pPr>
        <w:pStyle w:val="BodyText"/>
      </w:pPr>
      <w:r>
        <w:rPr>
          <w:i/>
          <w:iCs/>
        </w:rPr>
        <w:t xml:space="preserve">Key numbers to check first when the release hits: (1) Q2 FFO/share vs.</w:t>
      </w:r>
      <w:r>
        <w:rPr>
          <w:i/>
          <w:iCs/>
        </w:rPr>
        <w:t xml:space="preserve"> </w:t>
      </w:r>
      <m:oMath>
        <m:r>
          <m:t>1.73</m:t>
        </m:r>
        <m:r>
          <m:t>r</m:t>
        </m:r>
        <m:r>
          <m:t>u</m:t>
        </m:r>
        <m:r>
          <m:t>n</m:t>
        </m:r>
        <m:r>
          <m:rPr>
            <m:sty m:val="p"/>
          </m:rPr>
          <m:t>−</m:t>
        </m:r>
        <m:r>
          <m:t>r</m:t>
        </m:r>
        <m:r>
          <m:t>a</m:t>
        </m:r>
        <m:r>
          <m:t>t</m:t>
        </m:r>
        <m:r>
          <m:t>e</m:t>
        </m:r>
        <m:r>
          <m:rPr>
            <m:sty m:val="p"/>
          </m:rPr>
          <m:t>;</m:t>
        </m:r>
        <m:r>
          <m:rPr>
            <m:sty m:val="p"/>
          </m:rPr>
          <m:t>(</m:t>
        </m:r>
        <m:r>
          <m:t>2</m:t>
        </m:r>
        <m:r>
          <m:rPr>
            <m:sty m:val="p"/>
          </m:rPr>
          <m:t>)</m:t>
        </m:r>
        <m:r>
          <m:t>F</m:t>
        </m:r>
        <m:r>
          <m:t>Y</m:t>
        </m:r>
        <m:r>
          <m:t>26</m:t>
        </m:r>
        <m:r>
          <m:t>F</m:t>
        </m:r>
        <m:r>
          <m:t>F</m:t>
        </m:r>
        <m:r>
          <m:t>O</m:t>
        </m:r>
        <m:r>
          <m:t>g</m:t>
        </m:r>
        <m:r>
          <m:t>u</m:t>
        </m:r>
        <m:r>
          <m:t>i</m:t>
        </m:r>
        <m:r>
          <m:t>d</m:t>
        </m:r>
        <m:r>
          <m:t>e</m:t>
        </m:r>
        <m:r>
          <m:t>m</m:t>
        </m:r>
        <m:r>
          <m:t>i</m:t>
        </m:r>
        <m:r>
          <m:t>d</m:t>
        </m:r>
        <m:r>
          <m:t>p</m:t>
        </m:r>
        <m:r>
          <m:t>o</m:t>
        </m:r>
        <m:r>
          <m:t>i</m:t>
        </m:r>
        <m:r>
          <m:t>n</m:t>
        </m:r>
        <m:r>
          <m:t>t</m:t>
        </m:r>
        <m:r>
          <m:rPr>
            <m:sty m:val="p"/>
          </m:rPr>
          <m:t>(</m:t>
        </m:r>
      </m:oMath>
      <w:r>
        <w:rPr>
          <w:i/>
          <w:iCs/>
        </w:rPr>
        <w:t xml:space="preserve">6.40?); (3) dispositions closed vs.</w:t>
      </w:r>
      <w:r>
        <w:rPr>
          <w:i/>
          <w:iCs/>
        </w:rPr>
        <w:t xml:space="preserve"> </w:t>
      </w:r>
      <m:oMath>
        <m:r>
          <m:t>2.9</m:t>
        </m:r>
        <m:r>
          <m:t>B</m:t>
        </m:r>
        <m:r>
          <m:t>t</m:t>
        </m:r>
        <m:r>
          <m:t>a</m:t>
        </m:r>
        <m:r>
          <m:t>r</m:t>
        </m:r>
        <m:r>
          <m:t>g</m:t>
        </m:r>
        <m:r>
          <m:t>e</m:t>
        </m:r>
        <m:r>
          <m:t>t</m:t>
        </m:r>
        <m:r>
          <m:rPr>
            <m:sty m:val="p"/>
          </m:rPr>
          <m:t>;</m:t>
        </m:r>
        <m:r>
          <m:rPr>
            <m:sty m:val="p"/>
          </m:rPr>
          <m:t>(</m:t>
        </m:r>
        <m:r>
          <m:t>4</m:t>
        </m:r>
        <m:r>
          <m:rPr>
            <m:sty m:val="p"/>
          </m:rPr>
          <m:t>)</m:t>
        </m:r>
        <m:r>
          <m:t>q</m:t>
        </m:r>
        <m:r>
          <m:t>u</m:t>
        </m:r>
        <m:r>
          <m:t>a</m:t>
        </m:r>
        <m:r>
          <m:t>r</m:t>
        </m:r>
        <m:r>
          <m:t>t</m:t>
        </m:r>
        <m:r>
          <m:t>e</m:t>
        </m:r>
        <m:r>
          <m:t>r</m:t>
        </m:r>
        <m:r>
          <m:rPr>
            <m:sty m:val="p"/>
          </m:rPr>
          <m:t>−</m:t>
        </m:r>
        <m:r>
          <m:t>e</m:t>
        </m:r>
        <m:r>
          <m:t>n</m:t>
        </m:r>
        <m:r>
          <m:t>d</m:t>
        </m:r>
        <m:r>
          <m:t>o</m:t>
        </m:r>
        <m:r>
          <m:t>c</m:t>
        </m:r>
        <m:r>
          <m:t>c</m:t>
        </m:r>
        <m:r>
          <m:t>u</m:t>
        </m:r>
        <m:r>
          <m:t>p</m:t>
        </m:r>
        <m:r>
          <m:t>a</m:t>
        </m:r>
        <m:r>
          <m:t>n</m:t>
        </m:r>
        <m:r>
          <m:t>c</m:t>
        </m:r>
        <m:r>
          <m:t>y</m:t>
        </m:r>
        <m:r>
          <m:t>v</m:t>
        </m:r>
        <m:r>
          <m:t>s</m:t>
        </m:r>
        <m:r>
          <m:rPr>
            <m:sty m:val="p"/>
          </m:rPr>
          <m:t>.</m:t>
        </m:r>
        <m:r>
          <m:t> </m:t>
        </m:r>
        <m:r>
          <m:t>87</m:t>
        </m:r>
      </m:oMath>
      <w:r>
        <w:rPr>
          <w:i/>
          <w:iCs/>
        </w:rPr>
        <w:t xml:space="preserve">0.72); (7) leverage vs. the 5.6x–6.2x Q4 target.</w:t>
      </w:r>
    </w:p>
    <w:p>
      <w:r>
        <w:pict>
          <v:rect style="width:0;height:1.5pt" o:hralign="center" o:hrstd="t" o:hr="t"/>
        </w:pict>
      </w:r>
    </w:p>
    <w:p>
      <w:pPr>
        <w:pStyle w:val="FirstParagraph"/>
      </w:pPr>
      <w:r>
        <w:rPr>
          <w:i/>
          <w:iCs/>
        </w:rPr>
        <w:t xml:space="preserve">Sources: ARE Q1 2026 earnings call transcript and Q1 2026 earnings release/supplemental (filed April 27, 2026); daily news digest (July 31, 2026); Finnhub daily price history. This preview is for informational purposes only and is not investment advice.</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2026-08-03T00:26:38Z</dcterms:created>
  <dcterms:modified xsi:type="dcterms:W3CDTF">2026-08-03T00:26:38Z</dcterms:modified>
</cp:coreProperties>
</file>

<file path=docProps/custom.xml><?xml version="1.0" encoding="utf-8"?>
<Properties xmlns="http://schemas.openxmlformats.org/officeDocument/2006/custom-properties" xmlns:vt="http://schemas.openxmlformats.org/officeDocument/2006/docPropsVTypes"/>
</file>