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are-earnings-predictions--2026-08-03"/>
    <w:p>
      <w:pPr>
        <w:pStyle w:val="Heading1"/>
      </w:pPr>
      <w:r>
        <w:t xml:space="preserve">ARE Earnings Predictions — 2026-08-03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ARE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Q2 2026 adjusted FFO per share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~$1.65 vs. cons $1.64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ARE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Q2 2026 revenue</w:t>
            </w:r>
          </w:p>
        </w:tc>
        <w:tc>
          <w:tcPr/>
          <w:p>
            <w:pPr>
              <w:pStyle w:val="Compact"/>
            </w:pPr>
            <w:r>
              <w:t xml:space="preserve">MISS</w:t>
            </w:r>
          </w:p>
        </w:tc>
        <w:tc>
          <w:tcPr/>
          <w:p>
            <w:pPr>
              <w:pStyle w:val="Compact"/>
            </w:pPr>
            <w:r>
              <w:t xml:space="preserve">pred ~$646.0M vs. cons $653.7M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ARE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Q2 2026 leasing volume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~930,000 RSF vs. cons 900,000 RSF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ARE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adjusted FFO per share midpoint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~$6.40 vs. cons $6.40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ARE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Q4 2026 adjusted FFO per share midpoint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 ~$1.40 vs. cons $1.45 (Q4 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ARE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Year-end operating occupancy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 ~86.7% vs. cons 87.0% (year-end 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ARE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Disposition and partial-interest sale midpoint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 ~$2.7B vs. cons $2.9B (FY2026)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ARE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-4.8%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ARE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-6.5% (FOLLOW-THROUGH)</w:t>
            </w:r>
          </w:p>
        </w:tc>
        <w:tc>
          <w:tcPr/>
          <w:p>
            <w:pPr>
              <w:pStyle w:val="Compact"/>
            </w:pPr>
            <w:r>
              <w:t xml:space="preserve">A ~-4.8% day-1 residual extends to ~-6.5% by day 5 as a Q4 FFO midpoint of ~$1.40 vs.</w:t>
            </w:r>
            <w:r>
              <w:t xml:space="preserve"> </w:t>
            </w:r>
            <m:oMath>
              <m:r>
                <m:t>1.45</m:t>
              </m:r>
              <m:r>
                <m:t>a</m:t>
              </m:r>
              <m:r>
                <m:t>n</m:t>
              </m:r>
              <m:r>
                <m:t>d</m:t>
              </m:r>
              <m:r>
                <m:t>d</m:t>
              </m:r>
              <m:r>
                <m:t>i</m:t>
              </m:r>
              <m:r>
                <m:t>s</m:t>
              </m:r>
              <m:r>
                <m:t>p</m:t>
              </m:r>
              <m:r>
                <m:t>o</m:t>
              </m:r>
              <m:r>
                <m:t>s</m:t>
              </m:r>
              <m:r>
                <m:t>i</m:t>
              </m:r>
              <m:r>
                <m:t>t</m:t>
              </m:r>
              <m:r>
                <m:t>i</m:t>
              </m:r>
              <m:r>
                <m:t>o</m:t>
              </m:r>
              <m:r>
                <m:t>n</m:t>
              </m:r>
              <m:r>
                <m:t>g</m:t>
              </m:r>
              <m:r>
                <m:t>u</m:t>
              </m:r>
              <m:r>
                <m:t>i</m:t>
              </m:r>
              <m:r>
                <m:t>d</m:t>
              </m:r>
              <m:r>
                <m:t>a</m:t>
              </m:r>
              <m:r>
                <m:t>n</m:t>
              </m:r>
              <m:r>
                <m:t>c</m:t>
              </m:r>
              <m:r>
                <m:t>e</m:t>
              </m:r>
              <m:r>
                <m:t>o</m:t>
              </m:r>
              <m:r>
                <m:t>f</m:t>
              </m:r>
              <m:r>
                <m:t> </m:t>
              </m:r>
            </m:oMath>
            <w:r>
              <w:t xml:space="preserve">2.7B vs. $2.9B pull 2027 estimates lower despite an in-line Q2 FFO result.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2026-08-03T00:23:46Z</dcterms:created>
  <dcterms:modified xsi:type="dcterms:W3CDTF">2026-08-03T00:23:46Z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