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18850011c14edc542ccaa74336c24cc27a509c"/>
    <w:p>
      <w:pPr>
        <w:pStyle w:val="Heading1"/>
      </w:pPr>
      <w:r>
        <w:t xml:space="preserve">Alexandria Real Estate Equities (NYSE: ARE) — Q2 2026 Earnings Preview</w:t>
      </w:r>
    </w:p>
    <w:p>
      <w:pPr>
        <w:pStyle w:val="BlockText"/>
      </w:pPr>
      <w:r>
        <w:rPr>
          <w:b/>
          <w:bCs/>
        </w:rPr>
        <w:t xml:space="preserve">Timing clarification:</w:t>
      </w:r>
      <w:r>
        <w:t xml:space="preserve"> </w:t>
      </w:r>
      <w:r>
        <w:t xml:space="preserve">Alexandria is scheduled to release Q2 results</w:t>
      </w:r>
      <w:r>
        <w:t xml:space="preserve"> </w:t>
      </w:r>
      <w:r>
        <w:rPr>
          <w:b/>
          <w:bCs/>
        </w:rPr>
        <w:t xml:space="preserve">after the market closes today, Monday, August 3, 2026</w:t>
      </w:r>
      <w:r>
        <w:t xml:space="preserve">. The earnings call is</w:t>
      </w:r>
      <w:r>
        <w:t xml:space="preserve"> </w:t>
      </w:r>
      <w:r>
        <w:rPr>
          <w:b/>
          <w:bCs/>
        </w:rPr>
        <w:t xml:space="preserve">tomorrow, Tuesday, August 4, at 2:00 p.m. ET</w:t>
      </w:r>
      <w:r>
        <w:t xml:space="preserve">. (</w:t>
      </w:r>
      <w:hyperlink r:id="rId9">
        <w:r>
          <w:rPr>
            <w:rStyle w:val="Hyperlink"/>
          </w:rPr>
          <w:t xml:space="preserve">investor.are.com</w:t>
        </w:r>
      </w:hyperlink>
      <w:r>
        <w:t xml:space="preserve">)</w:t>
      </w:r>
    </w:p>
    <w:bookmarkStart w:id="10" w:name="investment-setup"/>
    <w:p>
      <w:pPr>
        <w:pStyle w:val="Heading2"/>
      </w:pPr>
      <w:r>
        <w:t xml:space="preserve">Investment setup</w:t>
      </w:r>
    </w:p>
    <w:p>
      <w:pPr>
        <w:pStyle w:val="FirstParagraph"/>
      </w:pPr>
      <w:r>
        <w:t xml:space="preserve">This report is less about whether ARE beats quarterly FFO by a few cents and more about whether management can demonstrate that its multiyear reset is working.</w:t>
      </w:r>
    </w:p>
    <w:p>
      <w:pPr>
        <w:pStyle w:val="BodyText"/>
      </w:pPr>
      <w:r>
        <w:t xml:space="preserve">The central questions are:</w:t>
      </w:r>
    </w:p>
    <w:p>
      <w:pPr>
        <w:pStyle w:val="Compact"/>
        <w:numPr>
          <w:ilvl w:val="0"/>
          <w:numId w:val="1001"/>
        </w:numPr>
      </w:pPr>
      <w:r>
        <w:rPr>
          <w:b/>
          <w:bCs/>
        </w:rPr>
        <w:t xml:space="preserve">Can ARE execute its $2.9 billion capital-recycling plan on acceptable terms?</w:t>
      </w:r>
    </w:p>
    <w:p>
      <w:pPr>
        <w:pStyle w:val="Compact"/>
        <w:numPr>
          <w:ilvl w:val="0"/>
          <w:numId w:val="1001"/>
        </w:numPr>
      </w:pPr>
      <w:r>
        <w:rPr>
          <w:b/>
          <w:bCs/>
        </w:rPr>
        <w:t xml:space="preserve">Is leasing strong enough to establish a credible occupancy and NOI trough?</w:t>
      </w:r>
    </w:p>
    <w:p>
      <w:pPr>
        <w:pStyle w:val="Compact"/>
        <w:numPr>
          <w:ilvl w:val="0"/>
          <w:numId w:val="1001"/>
        </w:numPr>
      </w:pPr>
      <w:r>
        <w:rPr>
          <w:b/>
          <w:bCs/>
        </w:rPr>
        <w:t xml:space="preserve">Can management reduce leverage without another meaningful guidance cut?</w:t>
      </w:r>
    </w:p>
    <w:p>
      <w:pPr>
        <w:pStyle w:val="Compact"/>
        <w:numPr>
          <w:ilvl w:val="0"/>
          <w:numId w:val="1001"/>
        </w:numPr>
      </w:pPr>
      <w:r>
        <w:rPr>
          <w:b/>
          <w:bCs/>
        </w:rPr>
        <w:t xml:space="preserve">Are the 2027 lease-expiration and tenant-credit risks stabilizing—or getting worse?</w:t>
      </w:r>
    </w:p>
    <w:p>
      <w:pPr>
        <w:pStyle w:val="FirstParagraph"/>
      </w:pPr>
      <w:r>
        <w:t xml:space="preserve">Q2 itself will probably remain operationally weak. Significant lease expirations occurred during the first half, while much of the benefit from already-signed leases is not expected until later in 2026. Investors should therefore focus heavily on forward leasing, dispositions, occupancy timing, and the quality of guidance.</w:t>
      </w:r>
    </w:p>
    <w:bookmarkEnd w:id="10"/>
    <w:bookmarkStart w:id="13" w:name="expectations-and-key-reference-points"/>
    <w:p>
      <w:pPr>
        <w:pStyle w:val="Heading2"/>
      </w:pPr>
      <w:r>
        <w:t xml:space="preserve">Expectations and key reference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expectation/reference</w:t>
            </w:r>
          </w:p>
        </w:tc>
      </w:tr>
      <w:tr>
        <w:tc>
          <w:tcPr/>
          <w:p>
            <w:pPr>
              <w:pStyle w:val="Compact"/>
            </w:pPr>
            <w:r>
              <w:t xml:space="preserve">Third-party consensus per-share estimate*</w:t>
            </w:r>
          </w:p>
        </w:tc>
        <w:tc>
          <w:tcPr/>
          <w:p>
            <w:pPr>
              <w:pStyle w:val="Compact"/>
              <w:jc w:val="right"/>
            </w:pPr>
            <w:r>
              <w:rPr>
                <w:b/>
                <w:bCs/>
              </w:rPr>
              <w:t xml:space="preserve">$1.64</w:t>
            </w:r>
          </w:p>
        </w:tc>
      </w:tr>
      <w:tr>
        <w:tc>
          <w:tcPr/>
          <w:p>
            <w:pPr>
              <w:pStyle w:val="Compact"/>
            </w:pPr>
            <w:r>
              <w:t xml:space="preserve">Revenue consensus</w:t>
            </w:r>
          </w:p>
        </w:tc>
        <w:tc>
          <w:tcPr/>
          <w:p>
            <w:pPr>
              <w:pStyle w:val="Compact"/>
              <w:jc w:val="right"/>
            </w:pPr>
            <w:r>
              <w:rPr>
                <w:b/>
                <w:bCs/>
              </w:rPr>
              <w:t xml:space="preserve">$653.7 million</w:t>
            </w:r>
          </w:p>
        </w:tc>
      </w:tr>
      <w:tr>
        <w:tc>
          <w:tcPr/>
          <w:p>
            <w:pPr>
              <w:pStyle w:val="Compact"/>
            </w:pPr>
            <w:r>
              <w:t xml:space="preserve">Q1 2026 adjusted FFO/share</w:t>
            </w:r>
          </w:p>
        </w:tc>
        <w:tc>
          <w:tcPr/>
          <w:p>
            <w:pPr>
              <w:pStyle w:val="Compact"/>
              <w:jc w:val="right"/>
            </w:pPr>
            <w:r>
              <w:rPr>
                <w:b/>
                <w:bCs/>
              </w:rPr>
              <w:t xml:space="preserve">$1.73</w:t>
            </w:r>
          </w:p>
        </w:tc>
      </w:tr>
      <w:tr>
        <w:tc>
          <w:tcPr/>
          <w:p>
            <w:pPr>
              <w:pStyle w:val="Compact"/>
            </w:pPr>
            <w:r>
              <w:t xml:space="preserve">Q2 2025 adjusted FFO/share</w:t>
            </w:r>
          </w:p>
        </w:tc>
        <w:tc>
          <w:tcPr/>
          <w:p>
            <w:pPr>
              <w:pStyle w:val="Compact"/>
              <w:jc w:val="right"/>
            </w:pPr>
            <w:r>
              <w:rPr>
                <w:b/>
                <w:bCs/>
              </w:rPr>
              <w:t xml:space="preserve">$2.33</w:t>
            </w:r>
          </w:p>
        </w:tc>
      </w:tr>
      <w:tr>
        <w:tc>
          <w:tcPr/>
          <w:p>
            <w:pPr>
              <w:pStyle w:val="Compact"/>
            </w:pPr>
            <w:r>
              <w:t xml:space="preserve">FY2026 adjusted FFO guidance</w:t>
            </w:r>
          </w:p>
        </w:tc>
        <w:tc>
          <w:tcPr/>
          <w:p>
            <w:pPr>
              <w:pStyle w:val="Compact"/>
              <w:jc w:val="right"/>
            </w:pPr>
            <m:oMath>
              <m:r>
                <m:t>6.30</m:t>
              </m:r>
              <m:r>
                <m:rPr>
                  <m:sty m:val="p"/>
                </m:rPr>
                <m:t>–</m:t>
              </m:r>
            </m:oMath>
            <w:r>
              <w:rPr>
                <w:b/>
                <w:bCs/>
              </w:rPr>
              <w:t xml:space="preserve">6.50</w:t>
            </w:r>
          </w:p>
        </w:tc>
      </w:tr>
      <w:tr>
        <w:tc>
          <w:tcPr/>
          <w:p>
            <w:pPr>
              <w:pStyle w:val="Compact"/>
            </w:pPr>
            <w:r>
              <w:t xml:space="preserve">FY2026 midpoint</w:t>
            </w:r>
          </w:p>
        </w:tc>
        <w:tc>
          <w:tcPr/>
          <w:p>
            <w:pPr>
              <w:pStyle w:val="Compact"/>
              <w:jc w:val="right"/>
            </w:pPr>
            <w:r>
              <w:rPr>
                <w:b/>
                <w:bCs/>
              </w:rPr>
              <w:t xml:space="preserve">$6.40</w:t>
            </w:r>
          </w:p>
        </w:tc>
      </w:tr>
      <w:tr>
        <w:tc>
          <w:tcPr/>
          <w:p>
            <w:pPr>
              <w:pStyle w:val="Compact"/>
            </w:pPr>
            <w:r>
              <w:t xml:space="preserve">Q1 operating occupancy</w:t>
            </w:r>
          </w:p>
        </w:tc>
        <w:tc>
          <w:tcPr/>
          <w:p>
            <w:pPr>
              <w:pStyle w:val="Compact"/>
              <w:jc w:val="right"/>
            </w:pPr>
            <w:r>
              <w:rPr>
                <w:b/>
                <w:bCs/>
              </w:rPr>
              <w:t xml:space="preserve">87.7%</w:t>
            </w:r>
          </w:p>
        </w:tc>
      </w:tr>
      <w:tr>
        <w:tc>
          <w:tcPr/>
          <w:p>
            <w:pPr>
              <w:pStyle w:val="Compact"/>
            </w:pPr>
            <w:r>
              <w:t xml:space="preserve">FY2026 year-end occupancy guide</w:t>
            </w:r>
          </w:p>
        </w:tc>
        <w:tc>
          <w:tcPr/>
          <w:p>
            <w:pPr>
              <w:pStyle w:val="Compact"/>
              <w:jc w:val="right"/>
            </w:pPr>
            <w:r>
              <w:rPr>
                <w:b/>
                <w:bCs/>
              </w:rPr>
              <w:t xml:space="preserve">86.2%–87.8%</w:t>
            </w:r>
          </w:p>
        </w:tc>
      </w:tr>
      <w:tr>
        <w:tc>
          <w:tcPr/>
          <w:p>
            <w:pPr>
              <w:pStyle w:val="Compact"/>
            </w:pPr>
            <w:r>
              <w:t xml:space="preserve">FY2026 same-property NOI guide</w:t>
            </w:r>
          </w:p>
        </w:tc>
        <w:tc>
          <w:tcPr/>
          <w:p>
            <w:pPr>
              <w:pStyle w:val="Compact"/>
              <w:jc w:val="right"/>
            </w:pPr>
            <w:r>
              <w:rPr>
                <w:b/>
                <w:bCs/>
              </w:rPr>
              <w:t xml:space="preserve">Down 10.5% to 8.5%</w:t>
            </w:r>
          </w:p>
        </w:tc>
      </w:tr>
      <w:tr>
        <w:tc>
          <w:tcPr/>
          <w:p>
            <w:pPr>
              <w:pStyle w:val="Compact"/>
            </w:pPr>
            <w:r>
              <w:t xml:space="preserve">Q1 annualized leverage</w:t>
            </w:r>
          </w:p>
        </w:tc>
        <w:tc>
          <w:tcPr/>
          <w:p>
            <w:pPr>
              <w:pStyle w:val="Compact"/>
              <w:jc w:val="right"/>
            </w:pPr>
            <w:r>
              <w:rPr>
                <w:b/>
                <w:bCs/>
              </w:rPr>
              <w:t xml:space="preserve">6.8x</w:t>
            </w:r>
          </w:p>
        </w:tc>
      </w:tr>
      <w:tr>
        <w:tc>
          <w:tcPr/>
          <w:p>
            <w:pPr>
              <w:pStyle w:val="Compact"/>
            </w:pPr>
            <w:r>
              <w:t xml:space="preserve">Q4 leverage target</w:t>
            </w:r>
          </w:p>
        </w:tc>
        <w:tc>
          <w:tcPr/>
          <w:p>
            <w:pPr>
              <w:pStyle w:val="Compact"/>
              <w:jc w:val="right"/>
            </w:pPr>
            <w:r>
              <w:rPr>
                <w:b/>
                <w:bCs/>
              </w:rPr>
              <w:t xml:space="preserve">5.6x–6.2x</w:t>
            </w:r>
          </w:p>
        </w:tc>
      </w:tr>
    </w:tbl>
    <w:p>
      <w:pPr>
        <w:pStyle w:val="BodyText"/>
      </w:pPr>
      <w:r>
        <w:t xml:space="preserve">*Some data vendors label the $1.64 estimate as “EPS,” but their historical series matches ARE’s adjusted FFO-per-share results; investors should treat it primarily as an adjusted-FFO proxy. The same source expects revenue of approximately $653.7 million. (</w:t>
      </w:r>
      <w:hyperlink r:id="rId11">
        <w:r>
          <w:rPr>
            <w:rStyle w:val="Hyperlink"/>
          </w:rPr>
          <w:t xml:space="preserve">benzinga.com</w:t>
        </w:r>
      </w:hyperlink>
      <w:r>
        <w:t xml:space="preserve">)</w:t>
      </w:r>
    </w:p>
    <w:p>
      <w:pPr>
        <w:pStyle w:val="BodyText"/>
      </w:pPr>
      <w:r>
        <w:t xml:space="preserve">ARE maintained a $6.40 full-year adjusted FFO midpoint last quarter while narrowing the range to</w:t>
      </w:r>
      <w:r>
        <w:t xml:space="preserve"> </w:t>
      </w:r>
      <m:oMath>
        <m:r>
          <m:t>6.30</m:t>
        </m:r>
        <m:r>
          <m:rPr>
            <m:sty m:val="p"/>
          </m:rPr>
          <m:t>–</m:t>
        </m:r>
      </m:oMath>
      <w:r>
        <w:t xml:space="preserve">6.50. However, it reduced its occupancy, same-property NOI, rent-spread and capitalized-interest assumptions. (</w:t>
      </w:r>
      <w:hyperlink r:id="rId12">
        <w:r>
          <w:rPr>
            <w:rStyle w:val="Hyperlink"/>
          </w:rPr>
          <w:t xml:space="preserve">are.com</w:t>
        </w:r>
      </w:hyperlink>
      <w:r>
        <w:t xml:space="preserve">)</w:t>
      </w:r>
    </w:p>
    <w:bookmarkEnd w:id="13"/>
    <w:bookmarkStart w:id="14" w:name="X3af85fea0f1a1e6584bf3ed3b69e82372dde14a"/>
    <w:p>
      <w:pPr>
        <w:pStyle w:val="Heading2"/>
      </w:pPr>
      <w:r>
        <w:t xml:space="preserve">1. Disposition execution is the most important issue</w:t>
      </w:r>
    </w:p>
    <w:p>
      <w:pPr>
        <w:pStyle w:val="FirstParagraph"/>
      </w:pPr>
      <w:r>
        <w:t xml:space="preserve">ARE entered Q2 with a</w:t>
      </w:r>
      <w:r>
        <w:t xml:space="preserve"> </w:t>
      </w:r>
      <m:oMath>
        <m:r>
          <m:t>2.9</m:t>
        </m:r>
        <m:r>
          <m:t>b</m:t>
        </m:r>
        <m:r>
          <m:t>i</m:t>
        </m:r>
        <m:r>
          <m:t>l</m:t>
        </m:r>
        <m:r>
          <m:t>l</m:t>
        </m:r>
        <m:r>
          <m:t>i</m:t>
        </m:r>
        <m:r>
          <m:t>o</m:t>
        </m:r>
        <m:r>
          <m:t>n</m:t>
        </m:r>
        <m:r>
          <m:t>m</m:t>
        </m:r>
        <m:r>
          <m:t>i</m:t>
        </m:r>
        <m:r>
          <m:t>d</m:t>
        </m:r>
        <m:r>
          <m:t>p</m:t>
        </m:r>
        <m:r>
          <m:t>o</m:t>
        </m:r>
        <m:r>
          <m:t>i</m:t>
        </m:r>
        <m:r>
          <m:t>n</m:t>
        </m:r>
        <m:r>
          <m:t>t</m:t>
        </m:r>
        <m:r>
          <m:t>t</m:t>
        </m:r>
        <m:r>
          <m:t>a</m:t>
        </m:r>
        <m:r>
          <m:t>r</m:t>
        </m:r>
        <m:r>
          <m:t>g</m:t>
        </m:r>
        <m:r>
          <m:t>e</m:t>
        </m:r>
        <m:r>
          <m:t>t</m:t>
        </m:r>
        <m:r>
          <m:t>f</m:t>
        </m:r>
        <m:r>
          <m:t>o</m:t>
        </m:r>
        <m:r>
          <m:t>r</m:t>
        </m:r>
        <m:r>
          <m:t>2026</m:t>
        </m:r>
        <m:r>
          <m:t>d</m:t>
        </m:r>
        <m:r>
          <m:t>i</m:t>
        </m:r>
        <m:r>
          <m:t>s</m:t>
        </m:r>
        <m:r>
          <m:t>p</m:t>
        </m:r>
        <m:r>
          <m:t>o</m:t>
        </m:r>
        <m:r>
          <m:t>s</m:t>
        </m:r>
        <m:r>
          <m:t>i</m:t>
        </m:r>
        <m:r>
          <m:t>t</m:t>
        </m:r>
        <m:r>
          <m:t>i</m:t>
        </m:r>
        <m:r>
          <m:t>o</m:t>
        </m:r>
        <m:r>
          <m:t>n</m:t>
        </m:r>
        <m:r>
          <m:t>s</m:t>
        </m:r>
        <m:r>
          <m:t>a</m:t>
        </m:r>
        <m:r>
          <m:t>n</m:t>
        </m:r>
        <m:r>
          <m:t>d</m:t>
        </m:r>
        <m:r>
          <m:t>s</m:t>
        </m:r>
        <m:r>
          <m:t>a</m:t>
        </m:r>
        <m:r>
          <m:t>l</m:t>
        </m:r>
        <m:r>
          <m:t>e</m:t>
        </m:r>
        <m:r>
          <m:t>s</m:t>
        </m:r>
        <m:r>
          <m:t>o</m:t>
        </m:r>
        <m:r>
          <m:t>f</m:t>
        </m:r>
        <m:r>
          <m:t>p</m:t>
        </m:r>
        <m:r>
          <m:t>a</m:t>
        </m:r>
        <m:r>
          <m:t>r</m:t>
        </m:r>
        <m:r>
          <m:t>t</m:t>
        </m:r>
        <m:r>
          <m:t>i</m:t>
        </m:r>
        <m:r>
          <m:t>a</m:t>
        </m:r>
        <m:r>
          <m:t>l</m:t>
        </m:r>
        <m:r>
          <m:t>i</m:t>
        </m:r>
        <m:r>
          <m:t>n</m:t>
        </m:r>
        <m:r>
          <m:t>t</m:t>
        </m:r>
        <m:r>
          <m:t>e</m:t>
        </m:r>
        <m:r>
          <m:t>r</m:t>
        </m:r>
        <m:r>
          <m:t>e</m:t>
        </m:r>
        <m:r>
          <m:t>s</m:t>
        </m:r>
        <m:r>
          <m:t>t</m:t>
        </m:r>
        <m:r>
          <m:t>s</m:t>
        </m:r>
        <m:r>
          <m:rPr>
            <m:sty m:val="p"/>
          </m:rPr>
          <m:t>*</m:t>
        </m:r>
        <m:r>
          <m:rPr>
            <m:sty m:val="p"/>
          </m:rPr>
          <m:t>*</m:t>
        </m:r>
        <m:r>
          <m:rPr>
            <m:sty m:val="p"/>
          </m:rPr>
          <m:t>,</m:t>
        </m:r>
        <m:r>
          <m:t>w</m:t>
        </m:r>
        <m:r>
          <m:t>i</m:t>
        </m:r>
        <m:r>
          <m:t>t</m:t>
        </m:r>
        <m:r>
          <m:t>h</m:t>
        </m:r>
        <m:r>
          <m:t>a</m:t>
        </m:r>
        <m:r>
          <m:t>n</m:t>
        </m:r>
        <m:r>
          <m:t>a</m:t>
        </m:r>
        <m:r>
          <m:t>s</m:t>
        </m:r>
        <m:r>
          <m:t>s</m:t>
        </m:r>
        <m:r>
          <m:t>u</m:t>
        </m:r>
        <m:r>
          <m:t>m</m:t>
        </m:r>
        <m:r>
          <m:t>e</m:t>
        </m:r>
        <m:r>
          <m:t>d</m:t>
        </m:r>
        <m:r>
          <m:t>w</m:t>
        </m:r>
        <m:r>
          <m:t>e</m:t>
        </m:r>
        <m:r>
          <m:t>i</m:t>
        </m:r>
        <m:r>
          <m:t>g</m:t>
        </m:r>
        <m:r>
          <m:t>h</m:t>
        </m:r>
        <m:r>
          <m:t>t</m:t>
        </m:r>
        <m:r>
          <m:t>e</m:t>
        </m:r>
        <m:r>
          <m:t>d</m:t>
        </m:r>
        <m:r>
          <m:rPr>
            <m:sty m:val="p"/>
          </m:rPr>
          <m:t>−</m:t>
        </m:r>
        <m:r>
          <m:t>a</m:t>
        </m:r>
        <m:r>
          <m:t>v</m:t>
        </m:r>
        <m:r>
          <m:t>e</m:t>
        </m:r>
        <m:r>
          <m:t>r</m:t>
        </m:r>
        <m:r>
          <m:t>a</m:t>
        </m:r>
        <m:r>
          <m:t>g</m:t>
        </m:r>
        <m:r>
          <m:t>e</m:t>
        </m:r>
        <m:r>
          <m:t>c</m:t>
        </m:r>
        <m:r>
          <m:t>o</m:t>
        </m:r>
        <m:r>
          <m:t>m</m:t>
        </m:r>
        <m:r>
          <m:t>p</m:t>
        </m:r>
        <m:r>
          <m:t>l</m:t>
        </m:r>
        <m:r>
          <m:t>e</m:t>
        </m:r>
        <m:r>
          <m:t>t</m:t>
        </m:r>
        <m:r>
          <m:t>i</m:t>
        </m:r>
        <m:r>
          <m:t>o</m:t>
        </m:r>
        <m:r>
          <m:t>n</m:t>
        </m:r>
        <m:r>
          <m:t>d</m:t>
        </m:r>
        <m:r>
          <m:t>a</m:t>
        </m:r>
        <m:r>
          <m:t>t</m:t>
        </m:r>
        <m:r>
          <m:t>e</m:t>
        </m:r>
        <m:r>
          <m:t>i</m:t>
        </m:r>
        <m:r>
          <m:t>n</m:t>
        </m:r>
        <m:r>
          <m:t>A</m:t>
        </m:r>
        <m:r>
          <m:t>u</m:t>
        </m:r>
        <m:r>
          <m:t>g</m:t>
        </m:r>
        <m:r>
          <m:t>u</m:t>
        </m:r>
        <m:r>
          <m:t>s</m:t>
        </m:r>
        <m:r>
          <m:t>t</m:t>
        </m:r>
        <m:r>
          <m:rPr>
            <m:sty m:val="p"/>
          </m:rPr>
          <m:t>.</m:t>
        </m:r>
        <m:r>
          <m:t>A</m:t>
        </m:r>
        <m:r>
          <m:t>t</m:t>
        </m:r>
        <m:r>
          <m:t>t</m:t>
        </m:r>
        <m:r>
          <m:t>h</m:t>
        </m:r>
        <m:r>
          <m:t>e</m:t>
        </m:r>
        <m:r>
          <m:t>e</m:t>
        </m:r>
        <m:r>
          <m:t>n</m:t>
        </m:r>
        <m:r>
          <m:t>d</m:t>
        </m:r>
        <m:r>
          <m:t>o</m:t>
        </m:r>
        <m:r>
          <m:t>f</m:t>
        </m:r>
        <m:r>
          <m:t>A</m:t>
        </m:r>
        <m:r>
          <m:t>p</m:t>
        </m:r>
        <m:r>
          <m:t>r</m:t>
        </m:r>
        <m:r>
          <m:t>i</m:t>
        </m:r>
        <m:r>
          <m:t>l</m:t>
        </m:r>
        <m:r>
          <m:rPr>
            <m:sty m:val="p"/>
          </m:rPr>
          <m:t>,</m:t>
        </m:r>
        <m:r>
          <m:t>o</m:t>
        </m:r>
        <m:r>
          <m:t>n</m:t>
        </m:r>
        <m:r>
          <m:t>l</m:t>
        </m:r>
        <m:r>
          <m:t>y</m:t>
        </m:r>
        <m:r>
          <m:t>a</m:t>
        </m:r>
        <m:r>
          <m:t>b</m:t>
        </m:r>
        <m:r>
          <m:t>o</m:t>
        </m:r>
        <m:r>
          <m:t>u</m:t>
        </m:r>
        <m:r>
          <m:t>t</m:t>
        </m:r>
        <m:r>
          <m:rPr>
            <m:sty m:val="p"/>
          </m:rPr>
          <m:t>*</m:t>
        </m:r>
        <m:r>
          <m:rPr>
            <m:sty m:val="p"/>
          </m:rPr>
          <m:t>*</m:t>
        </m:r>
      </m:oMath>
      <w:r>
        <w:rPr>
          <w:b/>
          <w:bCs/>
        </w:rPr>
        <w:t xml:space="preserve">151 million</w:t>
      </w:r>
      <w:r>
        <w:t xml:space="preserve"> </w:t>
      </w:r>
      <w:r>
        <w:t xml:space="preserve">was completed or pending, although another</w:t>
      </w:r>
      <w:r>
        <w:t xml:space="preserve"> </w:t>
      </w:r>
      <w:r>
        <w:rPr>
          <w:b/>
          <w:bCs/>
        </w:rPr>
        <w:t xml:space="preserve">$2.18 billion</w:t>
      </w:r>
      <w:r>
        <w:t xml:space="preserve"> </w:t>
      </w:r>
      <w:r>
        <w:t xml:space="preserve">was identified and in process.</w:t>
      </w:r>
    </w:p>
    <w:p>
      <w:pPr>
        <w:pStyle w:val="BodyText"/>
      </w:pPr>
      <w:r>
        <w:t xml:space="preserve">That makes this report a critical progress check. Management needs to provide more than assurances that buyer interest is healthy.</w:t>
      </w:r>
    </w:p>
    <w:p>
      <w:pPr>
        <w:pStyle w:val="BodyText"/>
      </w:pPr>
      <w:r>
        <w:t xml:space="preserve">Investors should look for:</w:t>
      </w:r>
    </w:p>
    <w:p>
      <w:pPr>
        <w:pStyle w:val="Compact"/>
        <w:numPr>
          <w:ilvl w:val="0"/>
          <w:numId w:val="1002"/>
        </w:numPr>
      </w:pPr>
      <w:r>
        <w:t xml:space="preserve">Completed sales since the Q1 report.</w:t>
      </w:r>
    </w:p>
    <w:p>
      <w:pPr>
        <w:pStyle w:val="Compact"/>
        <w:numPr>
          <w:ilvl w:val="0"/>
          <w:numId w:val="1002"/>
        </w:numPr>
      </w:pPr>
      <w:r>
        <w:t xml:space="preserve">Signed transactions with nonrefundable deposits.</w:t>
      </w:r>
    </w:p>
    <w:p>
      <w:pPr>
        <w:pStyle w:val="Compact"/>
        <w:numPr>
          <w:ilvl w:val="0"/>
          <w:numId w:val="1002"/>
        </w:numPr>
      </w:pPr>
      <w:r>
        <w:t xml:space="preserve">The split between land, noncore property sales and core-asset joint ventures.</w:t>
      </w:r>
    </w:p>
    <w:p>
      <w:pPr>
        <w:pStyle w:val="Compact"/>
        <w:numPr>
          <w:ilvl w:val="0"/>
          <w:numId w:val="1002"/>
        </w:numPr>
      </w:pPr>
      <w:r>
        <w:t xml:space="preserve">Pricing relative to book value and management’s internal valuations.</w:t>
      </w:r>
    </w:p>
    <w:p>
      <w:pPr>
        <w:pStyle w:val="Compact"/>
        <w:numPr>
          <w:ilvl w:val="0"/>
          <w:numId w:val="1002"/>
        </w:numPr>
      </w:pPr>
      <w:r>
        <w:t xml:space="preserve">The amount of NOI being sold.</w:t>
      </w:r>
    </w:p>
    <w:p>
      <w:pPr>
        <w:pStyle w:val="Compact"/>
        <w:numPr>
          <w:ilvl w:val="0"/>
          <w:numId w:val="1002"/>
        </w:numPr>
      </w:pPr>
      <w:r>
        <w:t xml:space="preserve">Whether the $2.9 billion midpoint and August timing remain realistic.</w:t>
      </w:r>
    </w:p>
    <w:p>
      <w:pPr>
        <w:pStyle w:val="Compact"/>
        <w:numPr>
          <w:ilvl w:val="0"/>
          <w:numId w:val="1002"/>
        </w:numPr>
      </w:pPr>
      <w:r>
        <w:t xml:space="preserve">How much of the proceeds will retire commercial paper and other short-term borrowing.</w:t>
      </w:r>
    </w:p>
    <w:p>
      <w:pPr>
        <w:pStyle w:val="FirstParagraph"/>
      </w:pPr>
      <w:r>
        <w:rPr>
          <w:b/>
          <w:bCs/>
        </w:rPr>
        <w:t xml:space="preserve">Positive outcome:</w:t>
      </w:r>
      <w:r>
        <w:t xml:space="preserve"> </w:t>
      </w:r>
      <w:r>
        <w:t xml:space="preserve">Material closings or binding agreements, with pricing that validates ARE’s underlying asset values.</w:t>
      </w:r>
    </w:p>
    <w:p>
      <w:pPr>
        <w:pStyle w:val="BodyText"/>
      </w:pPr>
      <w:r>
        <w:rPr>
          <w:b/>
          <w:bCs/>
        </w:rPr>
        <w:t xml:space="preserve">Negative outcome:</w:t>
      </w:r>
      <w:r>
        <w:t xml:space="preserve"> </w:t>
      </w:r>
      <w:r>
        <w:t xml:space="preserve">Another quarter dominated by “identified and in process” transactions, particularly if the expected completion schedule moves into late 2026 or 2027.</w:t>
      </w:r>
    </w:p>
    <w:bookmarkEnd w:id="14"/>
    <w:bookmarkStart w:id="16" w:name="Xebf21a3bc3e14df8301e5119fc99394e9e560fd"/>
    <w:p>
      <w:pPr>
        <w:pStyle w:val="Heading2"/>
      </w:pPr>
      <w:r>
        <w:t xml:space="preserve">2. Leasing needs to validate management’s Q2 commentary</w:t>
      </w:r>
    </w:p>
    <w:p>
      <w:pPr>
        <w:pStyle w:val="FirstParagraph"/>
      </w:pPr>
      <w:r>
        <w:t xml:space="preserve">ARE signed only</w:t>
      </w:r>
      <w:r>
        <w:t xml:space="preserve"> </w:t>
      </w:r>
      <w:r>
        <w:rPr>
          <w:b/>
          <w:bCs/>
        </w:rPr>
        <w:t xml:space="preserve">647,000 square feet</w:t>
      </w:r>
      <w:r>
        <w:t xml:space="preserve"> </w:t>
      </w:r>
      <w:r>
        <w:t xml:space="preserve">of leases in Q1, including no leases with public biotech tenants—an unprecedented result according to management. On the Q1 call, management indicated that Q2 leasing could rebound to approximately</w:t>
      </w:r>
      <w:r>
        <w:t xml:space="preserve"> </w:t>
      </w:r>
      <w:r>
        <w:rPr>
          <w:b/>
          <w:bCs/>
        </w:rPr>
        <w:t xml:space="preserve">900,000 square feet</w:t>
      </w:r>
      <w:r>
        <w:t xml:space="preserve">, based on activity then underway.</w:t>
      </w:r>
    </w:p>
    <w:p>
      <w:pPr>
        <w:pStyle w:val="BodyText"/>
      </w:pPr>
      <w:r>
        <w:t xml:space="preserve">That 900,000-square-foot marker is one of the cleanest tests in the report.</w:t>
      </w:r>
    </w:p>
    <w:p>
      <w:pPr>
        <w:pStyle w:val="BodyText"/>
      </w:pPr>
      <w:r>
        <w:t xml:space="preserve">The headline volume is not enough, however. Investors should examine:</w:t>
      </w:r>
    </w:p>
    <w:p>
      <w:pPr>
        <w:pStyle w:val="Compact"/>
        <w:numPr>
          <w:ilvl w:val="0"/>
          <w:numId w:val="1003"/>
        </w:numPr>
      </w:pPr>
      <w:r>
        <w:rPr>
          <w:b/>
          <w:bCs/>
        </w:rPr>
        <w:t xml:space="preserve">New leasing versus renewals.</w:t>
      </w:r>
    </w:p>
    <w:p>
      <w:pPr>
        <w:pStyle w:val="Compact"/>
        <w:numPr>
          <w:ilvl w:val="0"/>
          <w:numId w:val="1003"/>
        </w:numPr>
      </w:pPr>
      <w:r>
        <w:t xml:space="preserve">Leasing of previously vacant space.</w:t>
      </w:r>
    </w:p>
    <w:p>
      <w:pPr>
        <w:pStyle w:val="Compact"/>
        <w:numPr>
          <w:ilvl w:val="0"/>
          <w:numId w:val="1003"/>
        </w:numPr>
      </w:pPr>
      <w:r>
        <w:t xml:space="preserve">Development and redevelopment leasing.</w:t>
      </w:r>
    </w:p>
    <w:p>
      <w:pPr>
        <w:pStyle w:val="Compact"/>
        <w:numPr>
          <w:ilvl w:val="0"/>
          <w:numId w:val="1003"/>
        </w:numPr>
      </w:pPr>
      <w:r>
        <w:t xml:space="preserve">The return—or continued absence—of public-biotech demand.</w:t>
      </w:r>
    </w:p>
    <w:p>
      <w:pPr>
        <w:pStyle w:val="Compact"/>
        <w:numPr>
          <w:ilvl w:val="0"/>
          <w:numId w:val="1003"/>
        </w:numPr>
      </w:pPr>
      <w:r>
        <w:t xml:space="preserve">Signed leases versus letters of intent.</w:t>
      </w:r>
    </w:p>
    <w:p>
      <w:pPr>
        <w:pStyle w:val="Compact"/>
        <w:numPr>
          <w:ilvl w:val="0"/>
          <w:numId w:val="1003"/>
        </w:numPr>
      </w:pPr>
      <w:r>
        <w:t xml:space="preserve">Tenant-improvement costs, free rent and other concessions.</w:t>
      </w:r>
    </w:p>
    <w:p>
      <w:pPr>
        <w:pStyle w:val="Compact"/>
        <w:numPr>
          <w:ilvl w:val="0"/>
          <w:numId w:val="1003"/>
        </w:numPr>
      </w:pPr>
      <w:r>
        <w:t xml:space="preserve">The proportion of leasing to advanced-technology users rather than traditional life-science tenants.</w:t>
      </w:r>
    </w:p>
    <w:p>
      <w:pPr>
        <w:pStyle w:val="FirstParagraph"/>
      </w:pPr>
      <w:r>
        <w:t xml:space="preserve">ARE has been broadening the potential tenant pool at several properties to include advanced-technology users. That can reduce required capital and bring space into service sooner, but generally at lower rents than full laboratory use. The strategy is economically sensible if it generates acceptable returns; it would be less reassuring if it merely masks persistent weakness in core life-science demand.</w:t>
      </w:r>
    </w:p>
    <w:bookmarkStart w:id="15" w:name="rent-spreads-remain-a-warning-signal"/>
    <w:p>
      <w:pPr>
        <w:pStyle w:val="Heading3"/>
      </w:pPr>
      <w:r>
        <w:t xml:space="preserve">Rent spreads remain a warning signal</w:t>
      </w:r>
    </w:p>
    <w:p>
      <w:pPr>
        <w:pStyle w:val="FirstParagraph"/>
      </w:pPr>
      <w:r>
        <w:t xml:space="preserve">Q1 renewal and re-leasing rents declined:</w:t>
      </w:r>
    </w:p>
    <w:p>
      <w:pPr>
        <w:pStyle w:val="Compact"/>
        <w:numPr>
          <w:ilvl w:val="0"/>
          <w:numId w:val="1004"/>
        </w:numPr>
      </w:pPr>
      <w:r>
        <w:rPr>
          <w:b/>
          <w:bCs/>
        </w:rPr>
        <w:t xml:space="preserve">15.0% on a GAAP basis</w:t>
      </w:r>
    </w:p>
    <w:p>
      <w:pPr>
        <w:pStyle w:val="Compact"/>
        <w:numPr>
          <w:ilvl w:val="0"/>
          <w:numId w:val="1004"/>
        </w:numPr>
      </w:pPr>
      <w:r>
        <w:rPr>
          <w:b/>
          <w:bCs/>
        </w:rPr>
        <w:t xml:space="preserve">15.8% on a cash basis</w:t>
      </w:r>
    </w:p>
    <w:p>
      <w:pPr>
        <w:pStyle w:val="FirstParagraph"/>
      </w:pPr>
      <w:r>
        <w:t xml:space="preserve">One Watertown entertainment-studio lease had an outsized impact, but even excluding it, spreads remained negative. A meaningful sequential improvement would support the view that Q1 was unusually weak. Continued double-digit declines, especially alongside rising concessions and tenant-improvement allowances, would indicate that landlords still have limited pricing power.</w:t>
      </w:r>
    </w:p>
    <w:bookmarkEnd w:id="15"/>
    <w:bookmarkEnd w:id="16"/>
    <w:bookmarkStart w:id="17" w:name="X93a674a400db08c42e090672b58af95be115ccb"/>
    <w:p>
      <w:pPr>
        <w:pStyle w:val="Heading2"/>
      </w:pPr>
      <w:r>
        <w:t xml:space="preserve">3. Occupancy may get worse before it gets better</w:t>
      </w:r>
    </w:p>
    <w:p>
      <w:pPr>
        <w:pStyle w:val="FirstParagraph"/>
      </w:pPr>
      <w:r>
        <w:t xml:space="preserve">Operating occupancy fell from</w:t>
      </w:r>
      <w:r>
        <w:t xml:space="preserve"> </w:t>
      </w:r>
      <w:r>
        <w:rPr>
          <w:b/>
          <w:bCs/>
        </w:rPr>
        <w:t xml:space="preserve">90.9% at year-end 2025 to 87.7% in Q1</w:t>
      </w:r>
      <w:r>
        <w:t xml:space="preserve">. ARE also had another</w:t>
      </w:r>
      <w:r>
        <w:t xml:space="preserve"> </w:t>
      </w:r>
      <w:r>
        <w:rPr>
          <w:b/>
          <w:bCs/>
        </w:rPr>
        <w:t xml:space="preserve">747,000 square feet of known 2026 expirations expected to become vacant</w:t>
      </w:r>
      <w:r>
        <w:t xml:space="preserve">, with roughly 45% previously expected during Q2.</w:t>
      </w:r>
    </w:p>
    <w:p>
      <w:pPr>
        <w:pStyle w:val="BodyText"/>
      </w:pPr>
      <w:r>
        <w:t xml:space="preserve">At the same time, ARE had approximately</w:t>
      </w:r>
      <w:r>
        <w:t xml:space="preserve"> </w:t>
      </w:r>
      <w:r>
        <w:rPr>
          <w:b/>
          <w:bCs/>
        </w:rPr>
        <w:t xml:space="preserve">1.1 million square feet of vacant space already leased but not delivered</w:t>
      </w:r>
      <w:r>
        <w:t xml:space="preserve">, representing about</w:t>
      </w:r>
      <w:r>
        <w:t xml:space="preserve"> </w:t>
      </w:r>
      <w:r>
        <w:rPr>
          <w:b/>
          <w:bCs/>
        </w:rPr>
        <w:t xml:space="preserve">$68 million of prospective annual rental revenue</w:t>
      </w:r>
      <w:r>
        <w:t xml:space="preserve">. The weighted-average delivery date was around September 2026.</w:t>
      </w:r>
    </w:p>
    <w:p>
      <w:pPr>
        <w:pStyle w:val="BodyText"/>
      </w:pPr>
      <w:r>
        <w:t xml:space="preserve">That creates a timing mismatch:</w:t>
      </w:r>
    </w:p>
    <w:p>
      <w:pPr>
        <w:pStyle w:val="Compact"/>
        <w:numPr>
          <w:ilvl w:val="0"/>
          <w:numId w:val="1005"/>
        </w:numPr>
      </w:pPr>
      <w:r>
        <w:t xml:space="preserve">Lease expirations pressure Q2 occupancy and NOI.</w:t>
      </w:r>
    </w:p>
    <w:p>
      <w:pPr>
        <w:pStyle w:val="Compact"/>
        <w:numPr>
          <w:ilvl w:val="0"/>
          <w:numId w:val="1005"/>
        </w:numPr>
      </w:pPr>
      <w:r>
        <w:t xml:space="preserve">Much of the signed-lease benefit arrives in the second half.</w:t>
      </w:r>
    </w:p>
    <w:p>
      <w:pPr>
        <w:pStyle w:val="Compact"/>
        <w:numPr>
          <w:ilvl w:val="0"/>
          <w:numId w:val="1005"/>
        </w:numPr>
      </w:pPr>
      <w:r>
        <w:t xml:space="preserve">Dispositions can mechanically improve reported occupancy if vacant assets leave the portfolio.</w:t>
      </w:r>
    </w:p>
    <w:p>
      <w:pPr>
        <w:pStyle w:val="FirstParagraph"/>
      </w:pPr>
      <w:r>
        <w:t xml:space="preserve">Investors should distinguish among three drivers of any occupancy change:</w:t>
      </w:r>
    </w:p>
    <w:p>
      <w:pPr>
        <w:pStyle w:val="Compact"/>
        <w:numPr>
          <w:ilvl w:val="0"/>
          <w:numId w:val="1006"/>
        </w:numPr>
      </w:pPr>
      <w:r>
        <w:rPr>
          <w:b/>
          <w:bCs/>
        </w:rPr>
        <w:t xml:space="preserve">True leasing and tenant move-ins.</w:t>
      </w:r>
    </w:p>
    <w:p>
      <w:pPr>
        <w:pStyle w:val="Compact"/>
        <w:numPr>
          <w:ilvl w:val="0"/>
          <w:numId w:val="1006"/>
        </w:numPr>
      </w:pPr>
      <w:r>
        <w:rPr>
          <w:b/>
          <w:bCs/>
        </w:rPr>
        <w:t xml:space="preserve">Additional tenant failures or lease expirations.</w:t>
      </w:r>
    </w:p>
    <w:p>
      <w:pPr>
        <w:pStyle w:val="Compact"/>
        <w:numPr>
          <w:ilvl w:val="0"/>
          <w:numId w:val="1006"/>
        </w:numPr>
      </w:pPr>
      <w:r>
        <w:rPr>
          <w:b/>
          <w:bCs/>
        </w:rPr>
        <w:t xml:space="preserve">Portfolio-mix changes from asset sales.</w:t>
      </w:r>
    </w:p>
    <w:p>
      <w:pPr>
        <w:pStyle w:val="FirstParagraph"/>
      </w:pPr>
      <w:r>
        <w:t xml:space="preserve">The best result would be an unchanged or clearly defined occupancy trough, supported by firm delivery schedules for the 1.1 million square feet. An apparent improvement driven mainly by selling vacant buildings would be less valuable.</w:t>
      </w:r>
    </w:p>
    <w:bookmarkEnd w:id="17"/>
    <w:bookmarkStart w:id="18" w:name="X997f059e9dde549782ceb9e091f656c0f5a37c9"/>
    <w:p>
      <w:pPr>
        <w:pStyle w:val="Heading2"/>
      </w:pPr>
      <w:r>
        <w:t xml:space="preserve">4. Full-year guidance: the composition matters more than the headline</w:t>
      </w:r>
    </w:p>
    <w:p>
      <w:pPr>
        <w:pStyle w:val="FirstParagraph"/>
      </w:pPr>
      <w:r>
        <w:t xml:space="preserve">The existing</w:t>
      </w:r>
      <w:r>
        <w:t xml:space="preserve"> </w:t>
      </w:r>
      <w:r>
        <w:rPr>
          <w:b/>
          <w:bCs/>
        </w:rPr>
        <w:t xml:space="preserve">$6.40 adjusted FFO midpoint</w:t>
      </w:r>
      <w:r>
        <w:t xml:space="preserve"> </w:t>
      </w:r>
      <w:r>
        <w:t xml:space="preserve">remains mathematically achievable.</w:t>
      </w:r>
    </w:p>
    <w:p>
      <w:pPr>
        <w:pStyle w:val="BodyText"/>
      </w:pPr>
      <w:r>
        <w:t xml:space="preserve">After Q1’s</w:t>
      </w:r>
      <w:r>
        <w:t xml:space="preserve"> </w:t>
      </w:r>
      <m:oMath>
        <m:r>
          <m:t>1.73</m:t>
        </m:r>
        <m:r>
          <m:rPr>
            <m:sty m:val="p"/>
          </m:rPr>
          <m:t>,</m:t>
        </m:r>
        <m:r>
          <m:t>A</m:t>
        </m:r>
        <m:r>
          <m:t>R</m:t>
        </m:r>
        <m:r>
          <m:t>E</m:t>
        </m:r>
        <m:r>
          <m:t>n</m:t>
        </m:r>
        <m:r>
          <m:t>e</m:t>
        </m:r>
        <m:r>
          <m:t>e</m:t>
        </m:r>
        <m:r>
          <m:t>d</m:t>
        </m:r>
        <m:r>
          <m:t>s</m:t>
        </m:r>
        <m:r>
          <m:t>a</m:t>
        </m:r>
        <m:r>
          <m:t>n</m:t>
        </m:r>
        <m:r>
          <m:t>o</m:t>
        </m:r>
        <m:r>
          <m:t>t</m:t>
        </m:r>
        <m:r>
          <m:t>h</m:t>
        </m:r>
        <m:r>
          <m:t>e</m:t>
        </m:r>
        <m:r>
          <m:t>r</m:t>
        </m:r>
        <m:r>
          <m:rPr>
            <m:sty m:val="p"/>
          </m:rPr>
          <m:t>*</m:t>
        </m:r>
        <m:r>
          <m:rPr>
            <m:sty m:val="p"/>
          </m:rPr>
          <m:t>*</m:t>
        </m:r>
      </m:oMath>
      <w:r>
        <w:t xml:space="preserve">4.67 per share** over the final three quarters. Management’s Q4 guidance midpoint is approximately</w:t>
      </w:r>
      <w:r>
        <w:t xml:space="preserve"> </w:t>
      </w:r>
      <m:oMath>
        <m:r>
          <m:t>1.45</m:t>
        </m:r>
        <m:r>
          <m:rPr>
            <m:sty m:val="p"/>
          </m:rPr>
          <m:t>*</m:t>
        </m:r>
        <m:r>
          <m:rPr>
            <m:sty m:val="p"/>
          </m:rPr>
          <m:t>*</m:t>
        </m:r>
        <m:r>
          <m:rPr>
            <m:sty m:val="p"/>
          </m:rPr>
          <m:t>,</m:t>
        </m:r>
        <m:r>
          <m:t>i</m:t>
        </m:r>
        <m:r>
          <m:t>m</m:t>
        </m:r>
        <m:r>
          <m:t>p</m:t>
        </m:r>
        <m:r>
          <m:t>l</m:t>
        </m:r>
        <m:r>
          <m:t>y</m:t>
        </m:r>
        <m:r>
          <m:t>i</m:t>
        </m:r>
        <m:r>
          <m:t>n</m:t>
        </m:r>
        <m:r>
          <m:t>g</m:t>
        </m:r>
        <m:r>
          <m:t>c</m:t>
        </m:r>
        <m:r>
          <m:t>o</m:t>
        </m:r>
        <m:r>
          <m:t>m</m:t>
        </m:r>
        <m:r>
          <m:t>b</m:t>
        </m:r>
        <m:r>
          <m:t>i</m:t>
        </m:r>
        <m:r>
          <m:t>n</m:t>
        </m:r>
        <m:r>
          <m:t>e</m:t>
        </m:r>
        <m:r>
          <m:t>d</m:t>
        </m:r>
        <m:r>
          <m:t>Q</m:t>
        </m:r>
        <m:r>
          <m:t>2</m:t>
        </m:r>
        <m:r>
          <m:t>a</m:t>
        </m:r>
        <m:r>
          <m:t>n</m:t>
        </m:r>
        <m:r>
          <m:t>d</m:t>
        </m:r>
        <m:r>
          <m:t>Q</m:t>
        </m:r>
        <m:r>
          <m:t>3</m:t>
        </m:r>
        <m:r>
          <m:t>a</m:t>
        </m:r>
        <m:r>
          <m:t>d</m:t>
        </m:r>
        <m:r>
          <m:t>j</m:t>
        </m:r>
        <m:r>
          <m:t>u</m:t>
        </m:r>
        <m:r>
          <m:t>s</m:t>
        </m:r>
        <m:r>
          <m:t>t</m:t>
        </m:r>
        <m:r>
          <m:t>e</m:t>
        </m:r>
        <m:r>
          <m:t>d</m:t>
        </m:r>
        <m:r>
          <m:t>F</m:t>
        </m:r>
        <m:r>
          <m:t>F</m:t>
        </m:r>
        <m:r>
          <m:t>O</m:t>
        </m:r>
        <m:r>
          <m:t>o</m:t>
        </m:r>
        <m:r>
          <m:t>f</m:t>
        </m:r>
        <m:r>
          <m:t>r</m:t>
        </m:r>
        <m:r>
          <m:t>o</m:t>
        </m:r>
        <m:r>
          <m:t>u</m:t>
        </m:r>
        <m:r>
          <m:t>g</m:t>
        </m:r>
        <m:r>
          <m:t>h</m:t>
        </m:r>
        <m:r>
          <m:t>l</m:t>
        </m:r>
        <m:r>
          <m:t>y</m:t>
        </m:r>
        <m:r>
          <m:rPr>
            <m:sty m:val="p"/>
          </m:rPr>
          <m:t>*</m:t>
        </m:r>
        <m:r>
          <m:rPr>
            <m:sty m:val="p"/>
          </m:rPr>
          <m:t>*</m:t>
        </m:r>
      </m:oMath>
      <w:r>
        <w:rPr>
          <w:b/>
          <w:bCs/>
        </w:rPr>
        <w:t xml:space="preserve">3.22</w:t>
      </w:r>
      <w:r>
        <w:t xml:space="preserve">, or about</w:t>
      </w:r>
      <w:r>
        <w:t xml:space="preserve"> </w:t>
      </w:r>
      <w:r>
        <w:rPr>
          <w:b/>
          <w:bCs/>
        </w:rPr>
        <w:t xml:space="preserve">$1.61 per quarter</w:t>
      </w:r>
      <w:r>
        <w:t xml:space="preserve">.</w:t>
      </w:r>
    </w:p>
    <w:p>
      <w:pPr>
        <w:pStyle w:val="BodyText"/>
      </w:pPr>
      <w:r>
        <w:t xml:space="preserve">Thus, a Q2 result near the $1.64 consensus would generally fit the existing full-year bridge.</w:t>
      </w:r>
    </w:p>
    <w:p>
      <w:pPr>
        <w:pStyle w:val="BodyText"/>
      </w:pPr>
      <w:r>
        <w:t xml:space="preserve">The more important questions are:</w:t>
      </w:r>
    </w:p>
    <w:p>
      <w:pPr>
        <w:pStyle w:val="Compact"/>
        <w:numPr>
          <w:ilvl w:val="0"/>
          <w:numId w:val="1007"/>
        </w:numPr>
      </w:pPr>
      <w:r>
        <w:t xml:space="preserve">Is the $6.40 midpoint maintained?</w:t>
      </w:r>
    </w:p>
    <w:p>
      <w:pPr>
        <w:pStyle w:val="Compact"/>
        <w:numPr>
          <w:ilvl w:val="0"/>
          <w:numId w:val="1007"/>
        </w:numPr>
      </w:pPr>
      <w:r>
        <w:t xml:space="preserve">Does the</w:t>
      </w:r>
      <w:r>
        <w:t xml:space="preserve"> </w:t>
      </w:r>
      <m:oMath>
        <m:r>
          <m:t>1.40</m:t>
        </m:r>
        <m:r>
          <m:rPr>
            <m:sty m:val="p"/>
          </m:rPr>
          <m:t>–</m:t>
        </m:r>
      </m:oMath>
      <w:r>
        <w:t xml:space="preserve">1.50 Q4 exit-rate range remain intact?</w:t>
      </w:r>
    </w:p>
    <w:p>
      <w:pPr>
        <w:pStyle w:val="Compact"/>
        <w:numPr>
          <w:ilvl w:val="0"/>
          <w:numId w:val="1007"/>
        </w:numPr>
      </w:pPr>
      <w:r>
        <w:t xml:space="preserve">Is guidance being supported by operations or by realized venture-investment gains?</w:t>
      </w:r>
    </w:p>
    <w:p>
      <w:pPr>
        <w:pStyle w:val="Compact"/>
        <w:numPr>
          <w:ilvl w:val="0"/>
          <w:numId w:val="1007"/>
        </w:numPr>
      </w:pPr>
      <w:r>
        <w:t xml:space="preserve">Have tenant wind-down assumptions increased?</w:t>
      </w:r>
    </w:p>
    <w:p>
      <w:pPr>
        <w:pStyle w:val="Compact"/>
        <w:numPr>
          <w:ilvl w:val="0"/>
          <w:numId w:val="1007"/>
        </w:numPr>
      </w:pPr>
      <w:r>
        <w:t xml:space="preserve">Has the disposition schedule changed?</w:t>
      </w:r>
    </w:p>
    <w:p>
      <w:pPr>
        <w:pStyle w:val="Compact"/>
        <w:numPr>
          <w:ilvl w:val="0"/>
          <w:numId w:val="1007"/>
        </w:numPr>
      </w:pPr>
      <w:r>
        <w:t xml:space="preserve">Is capitalized interest falling faster than previously expected?</w:t>
      </w:r>
    </w:p>
    <w:p>
      <w:pPr>
        <w:pStyle w:val="FirstParagraph"/>
      </w:pPr>
      <w:r>
        <w:t xml:space="preserve">A maintained headline range accompanied by weaker occupancy, more tenant reserves or a lower Q4 run rate would still be a negative report.</w:t>
      </w:r>
    </w:p>
    <w:bookmarkEnd w:id="18"/>
    <w:bookmarkStart w:id="20" w:name="X5c432ba66ce3b3536e0056138e233f998124551"/>
    <w:p>
      <w:pPr>
        <w:pStyle w:val="Heading2"/>
      </w:pPr>
      <w:r>
        <w:t xml:space="preserve">5. Balance-sheet improvement depends on asset sales</w:t>
      </w:r>
    </w:p>
    <w:p>
      <w:pPr>
        <w:pStyle w:val="FirstParagraph"/>
      </w:pPr>
      <w:r>
        <w:t xml:space="preserve">ARE ended Q1 with:</w:t>
      </w:r>
    </w:p>
    <w:p>
      <w:pPr>
        <w:pStyle w:val="Compact"/>
        <w:numPr>
          <w:ilvl w:val="0"/>
          <w:numId w:val="1008"/>
        </w:numPr>
      </w:pPr>
      <w:r>
        <w:rPr>
          <w:b/>
          <w:bCs/>
        </w:rPr>
        <w:t xml:space="preserve">6.8x quarter-annualized net debt and preferred stock to adjusted EBITDA</w:t>
      </w:r>
    </w:p>
    <w:p>
      <w:pPr>
        <w:pStyle w:val="Compact"/>
        <w:numPr>
          <w:ilvl w:val="0"/>
          <w:numId w:val="1008"/>
        </w:numPr>
      </w:pPr>
      <w:r>
        <w:rPr>
          <w:b/>
          <w:bCs/>
        </w:rPr>
        <w:t xml:space="preserve">3.4x fixed-charge coverage</w:t>
      </w:r>
    </w:p>
    <w:p>
      <w:pPr>
        <w:pStyle w:val="Compact"/>
        <w:numPr>
          <w:ilvl w:val="0"/>
          <w:numId w:val="1008"/>
        </w:numPr>
      </w:pPr>
      <w:r>
        <w:t xml:space="preserve">Approximately</w:t>
      </w:r>
      <w:r>
        <w:t xml:space="preserve"> </w:t>
      </w:r>
      <w:r>
        <w:rPr>
          <w:b/>
          <w:bCs/>
        </w:rPr>
        <w:t xml:space="preserve">$4.2 billion of liquidity</w:t>
      </w:r>
    </w:p>
    <w:p>
      <w:pPr>
        <w:pStyle w:val="Compact"/>
        <w:numPr>
          <w:ilvl w:val="0"/>
          <w:numId w:val="1008"/>
        </w:numPr>
      </w:pPr>
      <w:r>
        <w:t xml:space="preserve">Approximately</w:t>
      </w:r>
      <w:r>
        <w:t xml:space="preserve"> </w:t>
      </w:r>
      <w:r>
        <w:rPr>
          <w:b/>
          <w:bCs/>
        </w:rPr>
        <w:t xml:space="preserve">$1.35 billion of commercial paper</w:t>
      </w:r>
    </w:p>
    <w:p>
      <w:pPr>
        <w:pStyle w:val="Compact"/>
        <w:numPr>
          <w:ilvl w:val="0"/>
          <w:numId w:val="1008"/>
        </w:numPr>
      </w:pPr>
      <w:r>
        <w:t xml:space="preserve">A ten-year weighted-average remaining debt term</w:t>
      </w:r>
    </w:p>
    <w:p>
      <w:pPr>
        <w:pStyle w:val="FirstParagraph"/>
      </w:pPr>
      <w:r>
        <w:t xml:space="preserve">Management targets Q4 leverage of</w:t>
      </w:r>
      <w:r>
        <w:t xml:space="preserve"> </w:t>
      </w:r>
      <w:r>
        <w:rPr>
          <w:b/>
          <w:bCs/>
        </w:rPr>
        <w:t xml:space="preserve">5.6x–6.2x</w:t>
      </w:r>
      <w:r>
        <w:t xml:space="preserve">, with the improvement heavily dependent on completing dispositions and retiring short-term borrowing.</w:t>
      </w:r>
    </w:p>
    <w:p>
      <w:pPr>
        <w:pStyle w:val="BodyText"/>
      </w:pPr>
      <w:r>
        <w:t xml:space="preserve">In July, ARE locked in terms for a proposed</w:t>
      </w:r>
      <w:r>
        <w:t xml:space="preserve"> </w:t>
      </w:r>
      <w:r>
        <w:rPr>
          <w:b/>
          <w:bCs/>
        </w:rPr>
        <w:t xml:space="preserve">$5 billion unsecured revolving facility</w:t>
      </w:r>
      <w:r>
        <w:t xml:space="preserve">, with an additional $1 billion accordion. The expected floating-rate margin at closing is 72.5 basis points, and the facility could extend to January 2032 with two six-month extensions. This is a meaningful liquidity positive, but the agreement remains subject to effectiveness conditions and does not replace the need to deleverage. (</w:t>
      </w:r>
      <w:hyperlink r:id="rId19">
        <w:r>
          <w:rPr>
            <w:rStyle w:val="Hyperlink"/>
          </w:rPr>
          <w:t xml:space="preserve">sec.gov</w:t>
        </w:r>
      </w:hyperlink>
      <w:r>
        <w:t xml:space="preserve">)</w:t>
      </w:r>
    </w:p>
    <w:p>
      <w:pPr>
        <w:pStyle w:val="BodyText"/>
      </w:pPr>
      <w:r>
        <w:t xml:space="preserve">The key distinction:</w:t>
      </w:r>
    </w:p>
    <w:p>
      <w:pPr>
        <w:pStyle w:val="Compact"/>
        <w:numPr>
          <w:ilvl w:val="0"/>
          <w:numId w:val="1009"/>
        </w:numPr>
      </w:pPr>
      <w:r>
        <w:rPr>
          <w:b/>
          <w:bCs/>
        </w:rPr>
        <w:t xml:space="preserve">Liquidity risk appears manageable.</w:t>
      </w:r>
    </w:p>
    <w:p>
      <w:pPr>
        <w:pStyle w:val="Compact"/>
        <w:numPr>
          <w:ilvl w:val="0"/>
          <w:numId w:val="1009"/>
        </w:numPr>
      </w:pPr>
      <w:r>
        <w:rPr>
          <w:b/>
          <w:bCs/>
        </w:rPr>
        <w:t xml:space="preserve">Leverage and earnings-dilution risk remain material.</w:t>
      </w:r>
    </w:p>
    <w:p>
      <w:pPr>
        <w:pStyle w:val="FirstParagraph"/>
      </w:pPr>
      <w:r>
        <w:t xml:space="preserve">A large revolver gives ARE time and flexibility. It does not solve the economic problem if property proceeds are delayed or realized at unattractive values.</w:t>
      </w:r>
    </w:p>
    <w:bookmarkEnd w:id="20"/>
    <w:bookmarkStart w:id="21" w:name="X575d95749696590cb24b0106fccf4694c5c1a0b"/>
    <w:p>
      <w:pPr>
        <w:pStyle w:val="Heading2"/>
      </w:pPr>
      <w:r>
        <w:t xml:space="preserve">6. Capitalized interest could become a larger FFO headwind</w:t>
      </w:r>
    </w:p>
    <w:p>
      <w:pPr>
        <w:pStyle w:val="FirstParagraph"/>
      </w:pPr>
      <w:r>
        <w:t xml:space="preserve">ARE capitalized approximately</w:t>
      </w:r>
      <w:r>
        <w:t xml:space="preserve"> </w:t>
      </w:r>
      <m:oMath>
        <m:r>
          <m:t>70</m:t>
        </m:r>
        <m:r>
          <m:t>m</m:t>
        </m:r>
        <m:r>
          <m:t>i</m:t>
        </m:r>
        <m:r>
          <m:t>l</m:t>
        </m:r>
        <m:r>
          <m:t>l</m:t>
        </m:r>
        <m:r>
          <m:t>i</m:t>
        </m:r>
        <m:r>
          <m:t>o</m:t>
        </m:r>
        <m:r>
          <m:t>n</m:t>
        </m:r>
        <m:r>
          <m:t>o</m:t>
        </m:r>
        <m:r>
          <m:t>f</m:t>
        </m:r>
        <m:r>
          <m:t>i</m:t>
        </m:r>
        <m:r>
          <m:t>n</m:t>
        </m:r>
        <m:r>
          <m:t>t</m:t>
        </m:r>
        <m:r>
          <m:t>e</m:t>
        </m:r>
        <m:r>
          <m:t>r</m:t>
        </m:r>
        <m:r>
          <m:t>e</m:t>
        </m:r>
        <m:r>
          <m:t>s</m:t>
        </m:r>
        <m:r>
          <m:t>t</m:t>
        </m:r>
        <m:r>
          <m:t>i</m:t>
        </m:r>
        <m:r>
          <m:t>n</m:t>
        </m:r>
        <m:r>
          <m:t>Q</m:t>
        </m:r>
        <m:r>
          <m:t>1</m:t>
        </m:r>
        <m:r>
          <m:rPr>
            <m:sty m:val="p"/>
          </m:rPr>
          <m:t>*</m:t>
        </m:r>
        <m:r>
          <m:rPr>
            <m:sty m:val="p"/>
          </m:rPr>
          <m:t>*</m:t>
        </m:r>
        <m:r>
          <m:t>o</m:t>
        </m:r>
        <m:r>
          <m:t>n</m:t>
        </m:r>
        <m:r>
          <m:t>a</m:t>
        </m:r>
        <m:r>
          <m:t>n</m:t>
        </m:r>
        <m:r>
          <m:t>a</m:t>
        </m:r>
        <m:r>
          <m:t>v</m:t>
        </m:r>
        <m:r>
          <m:t>e</m:t>
        </m:r>
        <m:r>
          <m:t>r</m:t>
        </m:r>
        <m:r>
          <m:t>a</m:t>
        </m:r>
        <m:r>
          <m:t>g</m:t>
        </m:r>
        <m:r>
          <m:t>e</m:t>
        </m:r>
        <m:r>
          <m:t>r</m:t>
        </m:r>
        <m:r>
          <m:t>e</m:t>
        </m:r>
        <m:r>
          <m:t>a</m:t>
        </m:r>
        <m:r>
          <m:t>l</m:t>
        </m:r>
        <m:r>
          <m:t>e</m:t>
        </m:r>
        <m:r>
          <m:t>s</m:t>
        </m:r>
        <m:r>
          <m:t>t</m:t>
        </m:r>
        <m:r>
          <m:t>a</m:t>
        </m:r>
        <m:r>
          <m:t>t</m:t>
        </m:r>
        <m:r>
          <m:t>e</m:t>
        </m:r>
        <m:r>
          <m:t>b</m:t>
        </m:r>
        <m:r>
          <m:t>a</m:t>
        </m:r>
        <m:r>
          <m:t>s</m:t>
        </m:r>
        <m:r>
          <m:t>i</m:t>
        </m:r>
        <m:r>
          <m:t>s</m:t>
        </m:r>
        <m:r>
          <m:t>o</m:t>
        </m:r>
        <m:r>
          <m:t>f</m:t>
        </m:r>
        <m:r>
          <m:t>a</m:t>
        </m:r>
        <m:r>
          <m:t>b</m:t>
        </m:r>
        <m:r>
          <m:t>o</m:t>
        </m:r>
        <m:r>
          <m:t>u</m:t>
        </m:r>
        <m:r>
          <m:t>t</m:t>
        </m:r>
        <m:r>
          <m:rPr>
            <m:sty m:val="p"/>
          </m:rPr>
          <m:t>*</m:t>
        </m:r>
        <m:r>
          <m:rPr>
            <m:sty m:val="p"/>
          </m:rPr>
          <m:t>*</m:t>
        </m:r>
      </m:oMath>
      <w:r>
        <w:rPr>
          <w:b/>
          <w:bCs/>
        </w:rPr>
        <w:t xml:space="preserve">6.86 billion</w:t>
      </w:r>
      <w:r>
        <w:t xml:space="preserve">. Management expects that capitalized basis to decline substantially as projects are delivered, paused, sold or reach decision milestones.</w:t>
      </w:r>
    </w:p>
    <w:p>
      <w:pPr>
        <w:pStyle w:val="BodyText"/>
      </w:pPr>
      <w:r>
        <w:t xml:space="preserve">Important exposure includes:</w:t>
      </w:r>
    </w:p>
    <w:p>
      <w:pPr>
        <w:pStyle w:val="Compact"/>
        <w:numPr>
          <w:ilvl w:val="0"/>
          <w:numId w:val="1010"/>
        </w:numPr>
      </w:pPr>
      <w:r>
        <w:t xml:space="preserve">Roughly</w:t>
      </w:r>
      <w:r>
        <w:t xml:space="preserve"> </w:t>
      </w:r>
      <w:r>
        <w:rPr>
          <w:b/>
          <w:bCs/>
        </w:rPr>
        <w:t xml:space="preserve">$1.16 billion of land</w:t>
      </w:r>
      <w:r>
        <w:t xml:space="preserve"> </w:t>
      </w:r>
      <w:r>
        <w:t xml:space="preserve">with weighted-average preconstruction milestones around August 2026.</w:t>
      </w:r>
    </w:p>
    <w:p>
      <w:pPr>
        <w:pStyle w:val="Compact"/>
        <w:numPr>
          <w:ilvl w:val="0"/>
          <w:numId w:val="1010"/>
        </w:numPr>
      </w:pPr>
      <w:r>
        <w:t xml:space="preserve">Approximately</w:t>
      </w:r>
      <w:r>
        <w:t xml:space="preserve"> </w:t>
      </w:r>
      <w:r>
        <w:rPr>
          <w:b/>
          <w:bCs/>
        </w:rPr>
        <w:t xml:space="preserve">$1.28 billion</w:t>
      </w:r>
      <w:r>
        <w:t xml:space="preserve"> </w:t>
      </w:r>
      <w:r>
        <w:t xml:space="preserve">tied to development and redevelopment projects whose strategy is under evaluation.</w:t>
      </w:r>
    </w:p>
    <w:p>
      <w:pPr>
        <w:pStyle w:val="Compact"/>
        <w:numPr>
          <w:ilvl w:val="0"/>
          <w:numId w:val="1010"/>
        </w:numPr>
      </w:pPr>
      <w:r>
        <w:t xml:space="preserve">Projects that may be converted to advanced-technology use, paused or sold.</w:t>
      </w:r>
    </w:p>
    <w:p>
      <w:pPr>
        <w:pStyle w:val="FirstParagraph"/>
      </w:pPr>
      <w:r>
        <w:t xml:space="preserve">When qualifying development activity stops, interest and certain other costs can no longer be capitalized and instead run through current earnings. That can reduce FFO even if the underlying cash interest burden is unchanged.</w:t>
      </w:r>
    </w:p>
    <w:p>
      <w:pPr>
        <w:pStyle w:val="BodyText"/>
      </w:pPr>
      <w:r>
        <w:t xml:space="preserve">Investors should watch for:</w:t>
      </w:r>
    </w:p>
    <w:p>
      <w:pPr>
        <w:pStyle w:val="Compact"/>
        <w:numPr>
          <w:ilvl w:val="0"/>
          <w:numId w:val="1011"/>
        </w:numPr>
      </w:pPr>
      <w:r>
        <w:t xml:space="preserve">More projects being paused.</w:t>
      </w:r>
    </w:p>
    <w:p>
      <w:pPr>
        <w:pStyle w:val="Compact"/>
        <w:numPr>
          <w:ilvl w:val="0"/>
          <w:numId w:val="1011"/>
        </w:numPr>
      </w:pPr>
      <w:r>
        <w:t xml:space="preserve">Lower 2026 capitalized-interest guidance.</w:t>
      </w:r>
    </w:p>
    <w:p>
      <w:pPr>
        <w:pStyle w:val="Compact"/>
        <w:numPr>
          <w:ilvl w:val="0"/>
          <w:numId w:val="1011"/>
        </w:numPr>
      </w:pPr>
      <w:r>
        <w:t xml:space="preserve">Impairments or abandonment charges.</w:t>
      </w:r>
    </w:p>
    <w:p>
      <w:pPr>
        <w:pStyle w:val="Compact"/>
        <w:numPr>
          <w:ilvl w:val="0"/>
          <w:numId w:val="1011"/>
        </w:numPr>
      </w:pPr>
      <w:r>
        <w:t xml:space="preserve">Revised construction spending beyond 2026.</w:t>
      </w:r>
    </w:p>
    <w:p>
      <w:pPr>
        <w:pStyle w:val="Compact"/>
        <w:numPr>
          <w:ilvl w:val="0"/>
          <w:numId w:val="1011"/>
        </w:numPr>
      </w:pPr>
      <w:r>
        <w:t xml:space="preserve">Clear plans for 421 Park Drive, 311 Arsenal Street, 40 Sylvan Road and 3000 Minuteman Road.</w:t>
      </w:r>
    </w:p>
    <w:p>
      <w:pPr>
        <w:pStyle w:val="FirstParagraph"/>
      </w:pPr>
      <w:r>
        <w:t xml:space="preserve">A decisive sale or lower-cost alternative use may be economically positive despite a near-term accounting headwind. Indefinite evaluation would be less constructive.</w:t>
      </w:r>
    </w:p>
    <w:bookmarkEnd w:id="21"/>
    <w:bookmarkStart w:id="22" w:name="X9267ec9a6e433bb95fcdf04ce6b56e1e317de73"/>
    <w:p>
      <w:pPr>
        <w:pStyle w:val="Heading2"/>
      </w:pPr>
      <w:r>
        <w:t xml:space="preserve">7. Tenant failures and the 2027 expiration cliff</w:t>
      </w:r>
    </w:p>
    <w:p>
      <w:pPr>
        <w:pStyle w:val="FirstParagraph"/>
      </w:pPr>
      <w:r>
        <w:t xml:space="preserve">ARE increased its 2026 allowance for tenant wind-downs from roughly</w:t>
      </w:r>
      <w:r>
        <w:t xml:space="preserve"> </w:t>
      </w:r>
      <m:oMath>
        <m:r>
          <m:t>23</m:t>
        </m:r>
        <m:r>
          <m:t>m</m:t>
        </m:r>
        <m:r>
          <m:t>i</m:t>
        </m:r>
        <m:r>
          <m:t>l</m:t>
        </m:r>
        <m:r>
          <m:t>l</m:t>
        </m:r>
        <m:r>
          <m:t>i</m:t>
        </m:r>
        <m:r>
          <m:t>o</m:t>
        </m:r>
        <m:r>
          <m:t>n</m:t>
        </m:r>
        <m:r>
          <m:t>t</m:t>
        </m:r>
        <m:r>
          <m:t>o</m:t>
        </m:r>
        <m:r>
          <m:rPr>
            <m:sty m:val="p"/>
          </m:rPr>
          <m:t>*</m:t>
        </m:r>
        <m:r>
          <m:rPr>
            <m:sty m:val="p"/>
          </m:rPr>
          <m:t>*</m:t>
        </m:r>
      </m:oMath>
      <w:r>
        <w:t xml:space="preserve">25–$30 million**, with approximately $6 million recognized in Q1.</w:t>
      </w:r>
    </w:p>
    <w:p>
      <w:pPr>
        <w:pStyle w:val="BodyText"/>
      </w:pPr>
      <w:r>
        <w:t xml:space="preserve">Investors should look for:</w:t>
      </w:r>
    </w:p>
    <w:p>
      <w:pPr>
        <w:pStyle w:val="Compact"/>
        <w:numPr>
          <w:ilvl w:val="0"/>
          <w:numId w:val="1012"/>
        </w:numPr>
      </w:pPr>
      <w:r>
        <w:t xml:space="preserve">A higher tenant-credit reserve.</w:t>
      </w:r>
    </w:p>
    <w:p>
      <w:pPr>
        <w:pStyle w:val="Compact"/>
        <w:numPr>
          <w:ilvl w:val="0"/>
          <w:numId w:val="1012"/>
        </w:numPr>
      </w:pPr>
      <w:r>
        <w:t xml:space="preserve">Newly identified public or private biotech failures.</w:t>
      </w:r>
    </w:p>
    <w:p>
      <w:pPr>
        <w:pStyle w:val="Compact"/>
        <w:numPr>
          <w:ilvl w:val="0"/>
          <w:numId w:val="1012"/>
        </w:numPr>
      </w:pPr>
      <w:r>
        <w:t xml:space="preserve">Lease modifications or termination payments.</w:t>
      </w:r>
    </w:p>
    <w:p>
      <w:pPr>
        <w:pStyle w:val="Compact"/>
        <w:numPr>
          <w:ilvl w:val="0"/>
          <w:numId w:val="1012"/>
        </w:numPr>
      </w:pPr>
      <w:r>
        <w:t xml:space="preserve">Sublease availability within ARE’s major markets.</w:t>
      </w:r>
    </w:p>
    <w:p>
      <w:pPr>
        <w:pStyle w:val="Compact"/>
        <w:numPr>
          <w:ilvl w:val="0"/>
          <w:numId w:val="1012"/>
        </w:numPr>
      </w:pPr>
      <w:r>
        <w:t xml:space="preserve">Whether collections remain close to 100%.</w:t>
      </w:r>
    </w:p>
    <w:p>
      <w:pPr>
        <w:pStyle w:val="FirstParagraph"/>
      </w:pPr>
      <w:r>
        <w:t xml:space="preserve">The larger forward risk is 2027. ARE identified approximately</w:t>
      </w:r>
      <w:r>
        <w:t xml:space="preserve"> </w:t>
      </w:r>
      <w:r>
        <w:rPr>
          <w:b/>
          <w:bCs/>
        </w:rPr>
        <w:t xml:space="preserve">1.5 million square feet</w:t>
      </w:r>
      <w:r>
        <w:t xml:space="preserve"> </w:t>
      </w:r>
      <w:r>
        <w:t xml:space="preserve">of 2027 expirations, representing</w:t>
      </w:r>
      <w:r>
        <w:t xml:space="preserve"> </w:t>
      </w:r>
      <w:r>
        <w:rPr>
          <w:b/>
          <w:bCs/>
        </w:rPr>
        <w:t xml:space="preserve">$97.4 million of annual rental revenue</w:t>
      </w:r>
      <w:r>
        <w:t xml:space="preserve">, that could experience six to 24 months of downtime. Only about 36% of that space was in early negotiations or associated with identified prospects at the end of Q1.</w:t>
      </w:r>
    </w:p>
    <w:p>
      <w:pPr>
        <w:pStyle w:val="BodyText"/>
      </w:pPr>
      <w:r>
        <w:t xml:space="preserve">The key question is not whether 2027 will contain downtime—it will—but whether the $97.4 million exposure has:</w:t>
      </w:r>
    </w:p>
    <w:p>
      <w:pPr>
        <w:pStyle w:val="Compact"/>
        <w:numPr>
          <w:ilvl w:val="0"/>
          <w:numId w:val="1013"/>
        </w:numPr>
      </w:pPr>
      <w:r>
        <w:t xml:space="preserve">Declined through renewals or backfills.</w:t>
      </w:r>
    </w:p>
    <w:p>
      <w:pPr>
        <w:pStyle w:val="Compact"/>
        <w:numPr>
          <w:ilvl w:val="0"/>
          <w:numId w:val="1013"/>
        </w:numPr>
      </w:pPr>
      <w:r>
        <w:t xml:space="preserve">Remained stable.</w:t>
      </w:r>
    </w:p>
    <w:p>
      <w:pPr>
        <w:pStyle w:val="Compact"/>
        <w:numPr>
          <w:ilvl w:val="0"/>
          <w:numId w:val="1013"/>
        </w:numPr>
      </w:pPr>
      <w:r>
        <w:t xml:space="preserve">Increased as additional tenants communicate plans to vacate.</w:t>
      </w:r>
    </w:p>
    <w:p>
      <w:pPr>
        <w:pStyle w:val="FirstParagraph"/>
      </w:pPr>
      <w:r>
        <w:t xml:space="preserve">An increase would challenge the thesis that 2026 represents the operating trough.</w:t>
      </w:r>
    </w:p>
    <w:bookmarkEnd w:id="22"/>
    <w:bookmarkStart w:id="23" w:name="valuation-and-market-expectations"/>
    <w:p>
      <w:pPr>
        <w:pStyle w:val="Heading2"/>
      </w:pPr>
      <w:r>
        <w:t xml:space="preserve">Valuation and market expectations</w:t>
      </w:r>
    </w:p>
    <w:p>
      <w:pPr>
        <w:pStyle w:val="FirstParagraph"/>
      </w:pPr>
      <w:r>
        <w:t xml:space="preserve">Based on ARE’s July 31 close of approximately</w:t>
      </w:r>
      <w:r>
        <w:t xml:space="preserve"> </w:t>
      </w:r>
      <w:r>
        <w:rPr>
          <w:b/>
          <w:bCs/>
        </w:rPr>
        <w:t xml:space="preserve">$51.47</w:t>
      </w:r>
      <w:r>
        <w:t xml:space="preserve">:</w:t>
      </w:r>
    </w:p>
    <w:p>
      <w:pPr>
        <w:pStyle w:val="Compact"/>
        <w:numPr>
          <w:ilvl w:val="0"/>
          <w:numId w:val="1014"/>
        </w:numPr>
      </w:pPr>
      <w:r>
        <w:t xml:space="preserve">The stock trades at roughly</w:t>
      </w:r>
      <w:r>
        <w:t xml:space="preserve"> </w:t>
      </w:r>
      <w:r>
        <w:rPr>
          <w:b/>
          <w:bCs/>
        </w:rPr>
        <w:t xml:space="preserve">8.0x</w:t>
      </w:r>
      <w:r>
        <w:t xml:space="preserve"> </w:t>
      </w:r>
      <w:r>
        <w:t xml:space="preserve">the $6.40 FY2026 FFO midpoint.</w:t>
      </w:r>
    </w:p>
    <w:p>
      <w:pPr>
        <w:pStyle w:val="Compact"/>
        <w:numPr>
          <w:ilvl w:val="0"/>
          <w:numId w:val="1014"/>
        </w:numPr>
      </w:pPr>
      <w:r>
        <w:t xml:space="preserve">It trades at approximately</w:t>
      </w:r>
      <w:r>
        <w:t xml:space="preserve"> </w:t>
      </w:r>
      <w:r>
        <w:rPr>
          <w:b/>
          <w:bCs/>
        </w:rPr>
        <w:t xml:space="preserve">8.9x</w:t>
      </w:r>
      <w:r>
        <w:t xml:space="preserve"> </w:t>
      </w:r>
      <w:r>
        <w:t xml:space="preserve">the annualized $1.45 Q4 FFO midpoint.</w:t>
      </w:r>
    </w:p>
    <w:p>
      <w:pPr>
        <w:pStyle w:val="Compact"/>
        <w:numPr>
          <w:ilvl w:val="0"/>
          <w:numId w:val="1014"/>
        </w:numPr>
      </w:pPr>
      <w:r>
        <w:t xml:space="preserve">The $2.88 annualized dividend implies a yield of approximately</w:t>
      </w:r>
      <w:r>
        <w:t xml:space="preserve"> </w:t>
      </w:r>
      <w:r>
        <w:rPr>
          <w:b/>
          <w:bCs/>
        </w:rPr>
        <w:t xml:space="preserve">5.6%</w:t>
      </w:r>
      <w:r>
        <w:t xml:space="preserve">.</w:t>
      </w:r>
    </w:p>
    <w:p>
      <w:pPr>
        <w:pStyle w:val="FirstParagraph"/>
      </w:pPr>
      <w:r>
        <w:t xml:space="preserve">That valuation reflects considerable skepticism, but expectations are no longer as depressed as they were immediately after Q1. ARE has risen about 13% from its April 27 close and approximately 27% from the post-earnings April 28 close.</w:t>
      </w:r>
    </w:p>
    <w:p>
      <w:pPr>
        <w:pStyle w:val="BodyText"/>
      </w:pPr>
      <w:r>
        <w:t xml:space="preserve">The stock does not need an immediate return to growth to work. It does need evidence that:</w:t>
      </w:r>
    </w:p>
    <w:p>
      <w:pPr>
        <w:pStyle w:val="Compact"/>
        <w:numPr>
          <w:ilvl w:val="0"/>
          <w:numId w:val="1015"/>
        </w:numPr>
      </w:pPr>
      <w:r>
        <w:t xml:space="preserve">Asset values support disposition assumptions.</w:t>
      </w:r>
    </w:p>
    <w:p>
      <w:pPr>
        <w:pStyle w:val="Compact"/>
        <w:numPr>
          <w:ilvl w:val="0"/>
          <w:numId w:val="1015"/>
        </w:numPr>
      </w:pPr>
      <w:r>
        <w:t xml:space="preserve">Leverage is moving down.</w:t>
      </w:r>
    </w:p>
    <w:p>
      <w:pPr>
        <w:pStyle w:val="Compact"/>
        <w:numPr>
          <w:ilvl w:val="0"/>
          <w:numId w:val="1015"/>
        </w:numPr>
      </w:pPr>
      <w:r>
        <w:t xml:space="preserve">Occupancy has a visible trough.</w:t>
      </w:r>
    </w:p>
    <w:p>
      <w:pPr>
        <w:pStyle w:val="Compact"/>
        <w:numPr>
          <w:ilvl w:val="0"/>
          <w:numId w:val="1015"/>
        </w:numPr>
      </w:pPr>
      <w:r>
        <w:t xml:space="preserve">The dividend is covered by recurring cash flows.</w:t>
      </w:r>
    </w:p>
    <w:p>
      <w:pPr>
        <w:pStyle w:val="Compact"/>
        <w:numPr>
          <w:ilvl w:val="0"/>
          <w:numId w:val="1015"/>
        </w:numPr>
      </w:pPr>
      <w:r>
        <w:t xml:space="preserve">2027 is manageable rather than another major reset.</w:t>
      </w:r>
    </w:p>
    <w:bookmarkEnd w:id="23"/>
    <w:bookmarkStart w:id="24" w:name="bullbasebear-scorecard"/>
    <w:p>
      <w:pPr>
        <w:pStyle w:val="Heading2"/>
      </w:pPr>
      <w:r>
        <w:t xml:space="preserve">Bull/base/bear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the report would likely show</w:t>
            </w:r>
          </w:p>
        </w:tc>
      </w:tr>
      <w:tr>
        <w:tc>
          <w:tcPr/>
          <w:p>
            <w:pPr>
              <w:pStyle w:val="Compact"/>
            </w:pPr>
            <w:r>
              <w:rPr>
                <w:b/>
                <w:bCs/>
              </w:rPr>
              <w:t xml:space="preserve">Bull case</w:t>
            </w:r>
          </w:p>
        </w:tc>
        <w:tc>
          <w:tcPr/>
          <w:p>
            <w:pPr>
              <w:pStyle w:val="Compact"/>
            </w:pPr>
            <w:r>
              <w:t xml:space="preserve">Q2 leasing around or above 900,000 square feet; renewed public-biotech activity; better rent spreads; major disposition closings at credible pricing; stable guidance; unchanged Q4 exit rate; tangible progress on 2027 expirations.</w:t>
            </w:r>
          </w:p>
        </w:tc>
      </w:tr>
      <w:tr>
        <w:tc>
          <w:tcPr/>
          <w:p>
            <w:pPr>
              <w:pStyle w:val="Compact"/>
            </w:pPr>
            <w:r>
              <w:rPr>
                <w:b/>
                <w:bCs/>
              </w:rPr>
              <w:t xml:space="preserve">Base case</w:t>
            </w:r>
          </w:p>
        </w:tc>
        <w:tc>
          <w:tcPr/>
          <w:p>
            <w:pPr>
              <w:pStyle w:val="Compact"/>
            </w:pPr>
            <w:r>
              <w:t xml:space="preserve">Adjusted FFO near $1.64; occupancy declines again; leasing improves but remains concession-heavy; some disposition progress; $6.40 guidance midpoint maintained; management reiterates that operating improvement begins later in 2026.</w:t>
            </w:r>
          </w:p>
        </w:tc>
      </w:tr>
      <w:tr>
        <w:tc>
          <w:tcPr/>
          <w:p>
            <w:pPr>
              <w:pStyle w:val="Compact"/>
            </w:pPr>
            <w:r>
              <w:rPr>
                <w:b/>
                <w:bCs/>
              </w:rPr>
              <w:t xml:space="preserve">Bear case</w:t>
            </w:r>
          </w:p>
        </w:tc>
        <w:tc>
          <w:tcPr/>
          <w:p>
            <w:pPr>
              <w:pStyle w:val="Compact"/>
            </w:pPr>
            <w:r>
              <w:t xml:space="preserve">Dispositions slip or pricing disappoints; leasing misses the indicated level; tenant reserves rise; occupancy guidance falls; capitalized interest declines faster; Q4 FFO guidance is reduced; more 2027 space is expected to go vacant.</w:t>
            </w:r>
          </w:p>
        </w:tc>
      </w:tr>
    </w:tbl>
    <w:bookmarkEnd w:id="24"/>
    <w:bookmarkStart w:id="25" w:name="X58422062a0248c0c9192c6cbd312793331b04c1"/>
    <w:p>
      <w:pPr>
        <w:pStyle w:val="Heading2"/>
      </w:pPr>
      <w:r>
        <w:t xml:space="preserve">Questions management should answer on the call</w:t>
      </w:r>
    </w:p>
    <w:p>
      <w:pPr>
        <w:pStyle w:val="Compact"/>
        <w:numPr>
          <w:ilvl w:val="0"/>
          <w:numId w:val="1016"/>
        </w:numPr>
      </w:pPr>
      <w:r>
        <w:t xml:space="preserve">How much of the $2.9 billion disposition plan is now closed, signed or under nonrefundable deposit?</w:t>
      </w:r>
    </w:p>
    <w:p>
      <w:pPr>
        <w:pStyle w:val="Compact"/>
        <w:numPr>
          <w:ilvl w:val="0"/>
          <w:numId w:val="1016"/>
        </w:numPr>
      </w:pPr>
      <w:r>
        <w:t xml:space="preserve">What pricing and cap rates are being achieved on core versus noncore transactions?</w:t>
      </w:r>
    </w:p>
    <w:p>
      <w:pPr>
        <w:pStyle w:val="Compact"/>
        <w:numPr>
          <w:ilvl w:val="0"/>
          <w:numId w:val="1016"/>
        </w:numPr>
      </w:pPr>
      <w:r>
        <w:t xml:space="preserve">Did Q2 leasing reach the roughly 900,000-square-foot level indicated in April?</w:t>
      </w:r>
    </w:p>
    <w:p>
      <w:pPr>
        <w:pStyle w:val="Compact"/>
        <w:numPr>
          <w:ilvl w:val="0"/>
          <w:numId w:val="1016"/>
        </w:numPr>
      </w:pPr>
      <w:r>
        <w:t xml:space="preserve">How much leasing came from public biotech, private biotech, large pharma and advanced technology?</w:t>
      </w:r>
    </w:p>
    <w:p>
      <w:pPr>
        <w:pStyle w:val="Compact"/>
        <w:numPr>
          <w:ilvl w:val="0"/>
          <w:numId w:val="1016"/>
        </w:numPr>
      </w:pPr>
      <w:r>
        <w:t xml:space="preserve">When will the 1.1 million square feet of leased-but-vacant space begin generating rent?</w:t>
      </w:r>
    </w:p>
    <w:p>
      <w:pPr>
        <w:pStyle w:val="Compact"/>
        <w:numPr>
          <w:ilvl w:val="0"/>
          <w:numId w:val="1016"/>
        </w:numPr>
      </w:pPr>
      <w:r>
        <w:t xml:space="preserve">Where is the expected occupancy trough excluding asset sales?</w:t>
      </w:r>
    </w:p>
    <w:p>
      <w:pPr>
        <w:pStyle w:val="Compact"/>
        <w:numPr>
          <w:ilvl w:val="0"/>
          <w:numId w:val="1016"/>
        </w:numPr>
      </w:pPr>
      <w:r>
        <w:t xml:space="preserve">Has the</w:t>
      </w:r>
      <w:r>
        <w:t xml:space="preserve"> </w:t>
      </w:r>
      <m:oMath>
        <m:r>
          <m:t>25</m:t>
        </m:r>
        <m:r>
          <m:rPr>
            <m:sty m:val="p"/>
          </m:rPr>
          <m:t>–</m:t>
        </m:r>
      </m:oMath>
      <w:r>
        <w:t xml:space="preserve">30 million tenant wind-down reserve changed?</w:t>
      </w:r>
    </w:p>
    <w:p>
      <w:pPr>
        <w:pStyle w:val="Compact"/>
        <w:numPr>
          <w:ilvl w:val="0"/>
          <w:numId w:val="1016"/>
        </w:numPr>
      </w:pPr>
      <w:r>
        <w:t xml:space="preserve">Has the $97.4 million of 2027 revenue expected to experience downtime increased or decreased?</w:t>
      </w:r>
    </w:p>
    <w:p>
      <w:pPr>
        <w:pStyle w:val="Compact"/>
        <w:numPr>
          <w:ilvl w:val="0"/>
          <w:numId w:val="1016"/>
        </w:numPr>
      </w:pPr>
      <w:r>
        <w:t xml:space="preserve">Which projects will be completed, converted, paused or sold?</w:t>
      </w:r>
    </w:p>
    <w:p>
      <w:pPr>
        <w:pStyle w:val="Compact"/>
        <w:numPr>
          <w:ilvl w:val="0"/>
          <w:numId w:val="1016"/>
        </w:numPr>
      </w:pPr>
      <w:r>
        <w:t xml:space="preserve">Is the Q4 adjusted FFO range of</w:t>
      </w:r>
      <w:r>
        <w:t xml:space="preserve"> </w:t>
      </w:r>
      <m:oMath>
        <m:r>
          <m:t>1.40</m:t>
        </m:r>
        <m:r>
          <m:rPr>
            <m:sty m:val="p"/>
          </m:rPr>
          <m:t>–</m:t>
        </m:r>
      </m:oMath>
      <w:r>
        <w:t xml:space="preserve">1.50 still a credible entry point into 2027?</w:t>
      </w:r>
    </w:p>
    <w:bookmarkEnd w:id="25"/>
    <w:bookmarkStart w:id="26" w:name="bottom-line"/>
    <w:p>
      <w:pPr>
        <w:pStyle w:val="Heading2"/>
      </w:pPr>
      <w:r>
        <w:t xml:space="preserve">Bottom line</w:t>
      </w:r>
    </w:p>
    <w:p>
      <w:pPr>
        <w:pStyle w:val="FirstParagraph"/>
      </w:pPr>
      <w:r>
        <w:rPr>
          <w:b/>
          <w:bCs/>
        </w:rPr>
        <w:t xml:space="preserve">The decisive metric is not Q2 FFO—it is execution on the capital plan.</w:t>
      </w:r>
    </w:p>
    <w:p>
      <w:pPr>
        <w:pStyle w:val="BodyText"/>
      </w:pPr>
      <w:r>
        <w:t xml:space="preserve">A modest earnings beat would carry limited value if dispositions remain delayed, leverage stays elevated and the 2027 vacancy risk grows. Conversely, a weak-looking quarter could be received positively if ARE announces substantial asset-sale proceeds, credible pricing, improved leasing and a firm second-half occupancy recovery.</w:t>
      </w:r>
    </w:p>
    <w:p>
      <w:pPr>
        <w:pStyle w:val="BodyText"/>
      </w:pPr>
      <w:r>
        <w:t xml:space="preserve">The strongest report would combine</w:t>
      </w:r>
      <w:r>
        <w:t xml:space="preserve"> </w:t>
      </w:r>
      <w:r>
        <w:rPr>
          <w:b/>
          <w:bCs/>
        </w:rPr>
        <w:t xml:space="preserve">realized capital recycling, leasing near or above 900,000 square feet, stable guidance and no expansion of the 2027 risk bucket</w:t>
      </w:r>
      <w:r>
        <w:t xml:space="preserve">. Without those elements, the market is likely to continue treating ARE’s low multiple as a reflection of unresolved structural risk rather than a straightforward valuation opportunity.</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are.com/news-events-and-webcasts/news/news-details/2026/Alexandria-Real-Estate-Equities-Inc--to-Hold-Its-Second-Quarter-2026-Operating-and-Financial-Results-Conference-Call-and-Webcast-on-August-4-2026/default.aspx?utm_source=openai" TargetMode="External" /><Relationship Type="http://schemas.openxmlformats.org/officeDocument/2006/relationships/hyperlink" Id="rId12" Target="https://www.are.com/fs/2026q1.pdf?utm_source=openai" TargetMode="External" /><Relationship Type="http://schemas.openxmlformats.org/officeDocument/2006/relationships/hyperlink" Id="rId11" Target="https://www.benzinga.com/quote/ARE/earnings?utm_source=openai" TargetMode="External" /><Relationship Type="http://schemas.openxmlformats.org/officeDocument/2006/relationships/hyperlink" Id="rId19" Target="https://www.sec.gov/Archives/edgar/data/1035443/000103544326000058/are-20260709.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are.com/news-events-and-webcasts/news/news-details/2026/Alexandria-Real-Estate-Equities-Inc--to-Hold-Its-Second-Quarter-2026-Operating-and-Financial-Results-Conference-Call-and-Webcast-on-August-4-2026/default.aspx?utm_source=openai" TargetMode="External" /><Relationship Type="http://schemas.openxmlformats.org/officeDocument/2006/relationships/hyperlink" Id="rId12" Target="https://www.are.com/fs/2026q1.pdf?utm_source=openai" TargetMode="External" /><Relationship Type="http://schemas.openxmlformats.org/officeDocument/2006/relationships/hyperlink" Id="rId11" Target="https://www.benzinga.com/quote/ARE/earnings?utm_source=openai" TargetMode="External" /><Relationship Type="http://schemas.openxmlformats.org/officeDocument/2006/relationships/hyperlink" Id="rId19" Target="https://www.sec.gov/Archives/edgar/data/1035443/000103544326000058/are-20260709.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2026-08-03T00:23:46Z</dcterms:created>
  <dcterms:modified xsi:type="dcterms:W3CDTF">2026-08-03T00:23:46Z</dcterms:modified>
</cp:coreProperties>
</file>

<file path=docProps/custom.xml><?xml version="1.0" encoding="utf-8"?>
<Properties xmlns="http://schemas.openxmlformats.org/officeDocument/2006/custom-properties" xmlns:vt="http://schemas.openxmlformats.org/officeDocument/2006/docPropsVTypes"/>
</file>