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-earnings-predictions--2026-08-03"/>
    <w:p>
      <w:pPr>
        <w:pStyle w:val="Heading1"/>
      </w:pPr>
      <w:r>
        <w:t xml:space="preserve">ARE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~$1.63 vs. cons $1.61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~86.7% vs. cons 86.7%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Completed/pending dispositions and partial-interest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~$0.35B vs. cons $0.65B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FFO per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~$6.40 vs. cons $6.40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adjusted FFO per share run-rate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~$1.43 vs. cons $1.45 (4Q2026)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dispositions and partial-interest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~$2.90B vs. cons $2.90B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year-end operating occupancy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~86.8% vs. cons 87.0%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~$1.63 vs.</w:t>
            </w:r>
            <w:r>
              <w:t xml:space="preserve"> </w:t>
            </w:r>
            <m:oMath>
              <m:r>
                <m:t>1.61</m:t>
              </m:r>
              <m:r>
                <m:t>F</m:t>
              </m:r>
              <m:r>
                <m:t>F</m:t>
              </m:r>
              <m:r>
                <m:t>O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w</m:t>
              </m:r>
              <m:r>
                <m:t>e</m:t>
              </m:r>
              <m:r>
                <m:t>a</m:t>
              </m:r>
              <m:r>
                <m:t>k</m:t>
              </m:r>
              <m:r>
                <m:t> </m:t>
              </m:r>
            </m:oMath>
            <w:r>
              <w:t xml:space="preserve">0.35B vs.</w:t>
            </w:r>
            <w:r>
              <w:t xml:space="preserve"> </w:t>
            </w:r>
            <m:oMath>
              <m:r>
                <m:t>0.65</m:t>
              </m:r>
              <m:r>
                <m:t>B</m:t>
              </m:r>
              <m:r>
                <m:t>c</m:t>
              </m:r>
              <m:r>
                <m:t>a</m:t>
              </m:r>
              <m:r>
                <m:t>p</m:t>
              </m:r>
              <m:r>
                <m:t>i</m:t>
              </m:r>
              <m:r>
                <m:t>t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e</m:t>
              </m:r>
              <m:r>
                <m:t>c</m:t>
              </m:r>
              <m:r>
                <m:t>y</m:t>
              </m:r>
              <m:r>
                <m:t>c</m:t>
              </m:r>
              <m:r>
                <m:t>l</m:t>
              </m:r>
              <m:r>
                <m:t>i</m:t>
              </m:r>
              <m:r>
                <m:t>n</m:t>
              </m:r>
              <m:r>
                <m:t>g</m:t>
              </m:r>
              <m:r>
                <m:t>e</m:t>
              </m:r>
              <m:r>
                <m:t>x</m:t>
              </m:r>
              <m:r>
                <m:t>e</m:t>
              </m:r>
              <m:r>
                <m:t>c</m:t>
              </m:r>
              <m:r>
                <m:t>u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s</m:t>
              </m:r>
              <m:r>
                <m:t>o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 </m:t>
              </m:r>
            </m:oMath>
            <w:r>
              <w:t xml:space="preserve">1.43 vs. $1.45 4Q FFO setup, and reduced confidence in the 2027 earnings bridge; out-period estimates should reset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2026-08-03T00:22:16Z</dcterms:created>
  <dcterms:modified xsi:type="dcterms:W3CDTF">2026-08-03T00:22:16Z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