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33f4d88644ca0e6a2b04f93b88c08d6ed57c9e3"/>
    <w:p>
      <w:pPr>
        <w:pStyle w:val="Heading1"/>
      </w:pPr>
      <w:r>
        <w:t xml:space="preserve">Alexandria Real Estate Equities (NYSE: ARE) — 2Q26 Earnings Preview</w:t>
      </w:r>
    </w:p>
    <w:p>
      <w:pPr>
        <w:pStyle w:val="BlockText"/>
      </w:pPr>
      <w:r>
        <w:rPr>
          <w:b/>
          <w:bCs/>
        </w:rPr>
        <w:t xml:space="preserve">Timing note:</w:t>
      </w:r>
      <w:r>
        <w:t xml:space="preserve"> </w:t>
      </w:r>
      <w:r>
        <w:t xml:space="preserve">August 3, 2026 is</w:t>
      </w:r>
      <w:r>
        <w:t xml:space="preserve"> </w:t>
      </w:r>
      <w:r>
        <w:rPr>
          <w:b/>
          <w:bCs/>
        </w:rPr>
        <w:t xml:space="preserve">today</w:t>
      </w:r>
      <w:r>
        <w:t xml:space="preserve">, not tomorrow. ARE is scheduled to report</w:t>
      </w:r>
      <w:r>
        <w:t xml:space="preserve"> </w:t>
      </w:r>
      <w:r>
        <w:rPr>
          <w:b/>
          <w:bCs/>
        </w:rPr>
        <w:t xml:space="preserve">2Q26 results after the U.S. market close today</w:t>
      </w:r>
      <w:r>
        <w:t xml:space="preserve">, followed by its earnings call.</w:t>
      </w:r>
    </w:p>
    <w:bookmarkStart w:id="9" w:name="X835dc032b18211937d0fbfc53ebbb5c948233c4"/>
    <w:p>
      <w:pPr>
        <w:pStyle w:val="Heading2"/>
      </w:pPr>
      <w:r>
        <w:t xml:space="preserve">Investment setup: execution matters more than the quarterly FFO print</w:t>
      </w:r>
    </w:p>
    <w:p>
      <w:pPr>
        <w:pStyle w:val="FirstParagraph"/>
      </w:pPr>
      <w:r>
        <w:t xml:space="preserve">ARE enters 2Q earnings in the middle of a multi-quarter reset. The company’s central task is to stabilize occupancy and cash flow while reducing its development/capital burden and executing a large capital-recycling program. A headline FFO result will matter, but investors are likely to focus more on four operational questions:</w:t>
      </w:r>
    </w:p>
    <w:p>
      <w:pPr>
        <w:pStyle w:val="Compact"/>
        <w:numPr>
          <w:ilvl w:val="0"/>
          <w:numId w:val="1001"/>
        </w:numPr>
      </w:pPr>
      <w:r>
        <w:rPr>
          <w:b/>
          <w:bCs/>
        </w:rPr>
        <w:t xml:space="preserve">Did leasing recover from a weak 1Q?</w:t>
      </w:r>
    </w:p>
    <w:p>
      <w:pPr>
        <w:pStyle w:val="Compact"/>
        <w:numPr>
          <w:ilvl w:val="0"/>
          <w:numId w:val="1001"/>
        </w:numPr>
      </w:pPr>
      <w:r>
        <w:rPr>
          <w:b/>
          <w:bCs/>
        </w:rPr>
        <w:t xml:space="preserve">How much did occupancy fall from known 2Q expirations, and is the September move-in pipeline intact?</w:t>
      </w:r>
    </w:p>
    <w:p>
      <w:pPr>
        <w:pStyle w:val="Compact"/>
        <w:numPr>
          <w:ilvl w:val="0"/>
          <w:numId w:val="1001"/>
        </w:numPr>
      </w:pPr>
      <w:r>
        <w:rPr>
          <w:b/>
          <w:bCs/>
        </w:rPr>
        <w:t xml:space="preserve">Are the planned dispositions / partial-interest sales closing on schedule?</w:t>
      </w:r>
    </w:p>
    <w:p>
      <w:pPr>
        <w:pStyle w:val="Compact"/>
        <w:numPr>
          <w:ilvl w:val="0"/>
          <w:numId w:val="1001"/>
        </w:numPr>
      </w:pPr>
      <w:r>
        <w:rPr>
          <w:b/>
          <w:bCs/>
        </w:rPr>
        <w:t xml:space="preserve">Does management still support the full-year FFO, leverage, and capital-spending framework?</w:t>
      </w:r>
    </w:p>
    <w:p>
      <w:pPr>
        <w:pStyle w:val="FirstParagraph"/>
      </w:pPr>
      <w:r>
        <w:t xml:space="preserve">The stock closed at</w:t>
      </w:r>
      <w:r>
        <w:t xml:space="preserve"> </w:t>
      </w:r>
      <w:r>
        <w:rPr>
          <w:b/>
          <w:bCs/>
        </w:rPr>
        <w:t xml:space="preserve">$51.47 on July 31</w:t>
      </w:r>
      <w:r>
        <w:t xml:space="preserve">—up roughly</w:t>
      </w:r>
      <w:r>
        <w:t xml:space="preserve"> </w:t>
      </w:r>
      <w:r>
        <w:rPr>
          <w:b/>
          <w:bCs/>
        </w:rPr>
        <w:t xml:space="preserve">27% from the post-1Q-results close of $40.41</w:t>
      </w:r>
      <w:r>
        <w:t xml:space="preserve">, but about</w:t>
      </w:r>
      <w:r>
        <w:t xml:space="preserve"> </w:t>
      </w:r>
      <w:r>
        <w:rPr>
          <w:b/>
          <w:bCs/>
        </w:rPr>
        <w:t xml:space="preserve">7% below its late-June high</w:t>
      </w:r>
      <w:r>
        <w:t xml:space="preserve">. That recovery suggests investors have already credited ARE for some balance-sheet and capital-recycling progress, leaving little room for another vague update on occupancy or asset-sale timing.</w:t>
      </w:r>
    </w:p>
    <w:bookmarkEnd w:id="9"/>
    <w:bookmarkStart w:id="12" w:name="what-the-market-should-expect"/>
    <w:p>
      <w:pPr>
        <w:pStyle w:val="Heading2"/>
      </w:pPr>
      <w:r>
        <w:t xml:space="preserve">What the market should expect</w:t>
      </w:r>
    </w:p>
    <w:bookmarkStart w:id="10" w:name="Xa98f5bf422b168338094a06d8fb8f71bfceef4b"/>
    <w:p>
      <w:pPr>
        <w:pStyle w:val="Heading3"/>
      </w:pPr>
      <w:r>
        <w:t xml:space="preserve">1. Near-term operating metrics are still likely to look weak</w:t>
      </w:r>
    </w:p>
    <w:p>
      <w:pPr>
        <w:pStyle w:val="FirstParagraph"/>
      </w:pPr>
      <w:r>
        <w:t xml:space="preserve">In 1Q26, ARE reported:</w:t>
      </w:r>
    </w:p>
    <w:p>
      <w:pPr>
        <w:pStyle w:val="Compact"/>
        <w:numPr>
          <w:ilvl w:val="0"/>
          <w:numId w:val="1002"/>
        </w:numPr>
      </w:pPr>
      <w:r>
        <w:rPr>
          <w:b/>
          <w:bCs/>
        </w:rPr>
        <w:t xml:space="preserve">Adjusted FFO/share of $1.73</w:t>
      </w:r>
      <w:r>
        <w:t xml:space="preserve">, down from $2.30 a year earlier.</w:t>
      </w:r>
    </w:p>
    <w:p>
      <w:pPr>
        <w:pStyle w:val="Compact"/>
        <w:numPr>
          <w:ilvl w:val="0"/>
          <w:numId w:val="1002"/>
        </w:numPr>
      </w:pPr>
      <w:r>
        <w:rPr>
          <w:b/>
          <w:bCs/>
        </w:rPr>
        <w:t xml:space="preserve">Operating occupancy of 87.7%</w:t>
      </w:r>
      <w:r>
        <w:t xml:space="preserve">, down from 90.9% at year-end 2025.</w:t>
      </w:r>
    </w:p>
    <w:p>
      <w:pPr>
        <w:pStyle w:val="Compact"/>
        <w:numPr>
          <w:ilvl w:val="0"/>
          <w:numId w:val="1002"/>
        </w:numPr>
      </w:pPr>
      <w:r>
        <w:rPr>
          <w:b/>
          <w:bCs/>
        </w:rPr>
        <w:t xml:space="preserve">Same-property NOI down 11.9%</w:t>
      </w:r>
      <w:r>
        <w:t xml:space="preserve"> </w:t>
      </w:r>
      <w:r>
        <w:t xml:space="preserve">year over year.</w:t>
      </w:r>
    </w:p>
    <w:p>
      <w:pPr>
        <w:pStyle w:val="Compact"/>
        <w:numPr>
          <w:ilvl w:val="0"/>
          <w:numId w:val="1002"/>
        </w:numPr>
      </w:pPr>
      <w:r>
        <w:rPr>
          <w:b/>
          <w:bCs/>
        </w:rPr>
        <w:t xml:space="preserve">Renewal/re-leasing cash spreads of negative 15.8%.</w:t>
      </w:r>
    </w:p>
    <w:p>
      <w:pPr>
        <w:pStyle w:val="FirstParagraph"/>
      </w:pPr>
      <w:r>
        <w:t xml:space="preserve">The cause was not a surprise: approximately</w:t>
      </w:r>
      <w:r>
        <w:t xml:space="preserve"> </w:t>
      </w:r>
      <w:r>
        <w:rPr>
          <w:b/>
          <w:bCs/>
        </w:rPr>
        <w:t xml:space="preserve">657,000 RSF</w:t>
      </w:r>
      <w:r>
        <w:t xml:space="preserve"> </w:t>
      </w:r>
      <w:r>
        <w:t xml:space="preserve">of previously identified key expirations became vacant in 1Q. Management also indicated that another</w:t>
      </w:r>
      <w:r>
        <w:t xml:space="preserve"> </w:t>
      </w:r>
      <w:r>
        <w:rPr>
          <w:b/>
          <w:bCs/>
        </w:rPr>
        <w:t xml:space="preserve">747,000 RSF</w:t>
      </w:r>
      <w:r>
        <w:t xml:space="preserve"> </w:t>
      </w:r>
      <w:r>
        <w:t xml:space="preserve">of key lease expirations were expected to go vacant during 2026, with roughly 45% anticipated in 2Q.</w:t>
      </w:r>
    </w:p>
    <w:p>
      <w:pPr>
        <w:pStyle w:val="BodyText"/>
      </w:pPr>
      <w:r>
        <w:rPr>
          <w:b/>
          <w:bCs/>
        </w:rPr>
        <w:t xml:space="preserve">Read-through for 2Q:</w:t>
      </w:r>
      <w:r>
        <w:t xml:space="preserve"> </w:t>
      </w:r>
      <w:r>
        <w:t xml:space="preserve">occupancy and same-property NOI could remain under meaningful pressure. A sequential decline in occupancy would not necessarily invalidate the thesis, but it will need to be consistent with the company’s stated expiration schedule and accompanied by evidence that leasing demand is improving.</w:t>
      </w:r>
    </w:p>
    <w:bookmarkEnd w:id="10"/>
    <w:bookmarkStart w:id="11" w:name="X5cea1a75d98cca2cd230e17bbd68fa3ec0700d2"/>
    <w:p>
      <w:pPr>
        <w:pStyle w:val="Heading3"/>
      </w:pPr>
      <w:r>
        <w:t xml:space="preserve">2. Leasing is the pivotal operating catalyst</w:t>
      </w:r>
    </w:p>
    <w:p>
      <w:pPr>
        <w:pStyle w:val="FirstParagraph"/>
      </w:pPr>
      <w:r>
        <w:t xml:space="preserve">On the 1Q call, management indicated it expected approximately</w:t>
      </w:r>
      <w:r>
        <w:t xml:space="preserve"> </w:t>
      </w:r>
      <w:r>
        <w:rPr>
          <w:b/>
          <w:bCs/>
        </w:rPr>
        <w:t xml:space="preserve">900,000 RSF of 2Q leasing activity</w:t>
      </w:r>
      <w:r>
        <w:t xml:space="preserve">, versus 647,000 RSF in 1Q. The quality and composition of leasing will be at least as important as the total:</w:t>
      </w:r>
    </w:p>
    <w:p>
      <w:pPr>
        <w:pStyle w:val="Compact"/>
        <w:numPr>
          <w:ilvl w:val="0"/>
          <w:numId w:val="1003"/>
        </w:numPr>
      </w:pPr>
      <w:r>
        <w:rPr>
          <w:b/>
          <w:bCs/>
        </w:rPr>
        <w:t xml:space="preserve">Previously vacant space leased:</w:t>
      </w:r>
      <w:r>
        <w:t xml:space="preserve"> </w:t>
      </w:r>
      <w:r>
        <w:t xml:space="preserve">strongest signal for occupancy and cash-flow recovery.</w:t>
      </w:r>
    </w:p>
    <w:p>
      <w:pPr>
        <w:pStyle w:val="Compact"/>
        <w:numPr>
          <w:ilvl w:val="0"/>
          <w:numId w:val="1003"/>
        </w:numPr>
      </w:pPr>
      <w:r>
        <w:rPr>
          <w:b/>
          <w:bCs/>
        </w:rPr>
        <w:t xml:space="preserve">Development/redevelopment leasing:</w:t>
      </w:r>
      <w:r>
        <w:t xml:space="preserve"> </w:t>
      </w:r>
      <w:r>
        <w:t xml:space="preserve">validates the pipeline and reduces speculative risk.</w:t>
      </w:r>
    </w:p>
    <w:p>
      <w:pPr>
        <w:pStyle w:val="Compact"/>
        <w:numPr>
          <w:ilvl w:val="0"/>
          <w:numId w:val="1003"/>
        </w:numPr>
      </w:pPr>
      <w:r>
        <w:rPr>
          <w:b/>
          <w:bCs/>
        </w:rPr>
        <w:t xml:space="preserve">Renewals and cash re-leasing spreads:</w:t>
      </w:r>
      <w:r>
        <w:t xml:space="preserve"> </w:t>
      </w:r>
      <w:r>
        <w:t xml:space="preserve">a measure of whether market rents have stabilized.</w:t>
      </w:r>
    </w:p>
    <w:p>
      <w:pPr>
        <w:pStyle w:val="Compact"/>
        <w:numPr>
          <w:ilvl w:val="0"/>
          <w:numId w:val="1003"/>
        </w:numPr>
      </w:pPr>
      <w:r>
        <w:rPr>
          <w:b/>
          <w:bCs/>
        </w:rPr>
        <w:t xml:space="preserve">Advanced-technology leasing:</w:t>
      </w:r>
      <w:r>
        <w:t xml:space="preserve"> </w:t>
      </w:r>
      <w:r>
        <w:t xml:space="preserve">potentially constructive, particularly for lower-capex conversions, but investors will want clarity on rent levels, tenant-improvement requirements, and how repeatable this demand is.</w:t>
      </w:r>
    </w:p>
    <w:p>
      <w:pPr>
        <w:pStyle w:val="FirstParagraph"/>
      </w:pPr>
      <w:r>
        <w:t xml:space="preserve">A key positive embedded in the 1Q update was</w:t>
      </w:r>
      <w:r>
        <w:t xml:space="preserve"> </w:t>
      </w:r>
      <w:r>
        <w:rPr>
          <w:b/>
          <w:bCs/>
        </w:rPr>
        <w:t xml:space="preserve">1.1 million RSF of already leased but not-yet-delivered space</w:t>
      </w:r>
      <w:r>
        <w:t xml:space="preserve">, expected to commence occupancy around</w:t>
      </w:r>
      <w:r>
        <w:t xml:space="preserve"> </w:t>
      </w:r>
      <w:r>
        <w:rPr>
          <w:b/>
          <w:bCs/>
        </w:rPr>
        <w:t xml:space="preserve">September 2026</w:t>
      </w:r>
      <w:r>
        <w:t xml:space="preserve"> </w:t>
      </w:r>
      <w:r>
        <w:t xml:space="preserve">and generate approximately</w:t>
      </w:r>
      <w:r>
        <w:t xml:space="preserve"> </w:t>
      </w:r>
      <w:r>
        <w:rPr>
          <w:b/>
          <w:bCs/>
        </w:rPr>
        <w:t xml:space="preserve">$68 million of annual rental revenue</w:t>
      </w:r>
      <w:r>
        <w:t xml:space="preserve">. The 2Q report should confirm whether that delivery timetable is unchanged. This is the clearest bridge to better second-half occupancy and NOI.</w:t>
      </w:r>
    </w:p>
    <w:bookmarkEnd w:id="11"/>
    <w:bookmarkEnd w:id="12"/>
    <w:bookmarkStart w:id="13" w:name="X90e0f7e0055640642683f33975d314b24cea20b"/>
    <w:p>
      <w:pPr>
        <w:pStyle w:val="Heading2"/>
      </w:pPr>
      <w:r>
        <w:t xml:space="preserve">The centerpiece: disposition and partial-interest-sale execution</w:t>
      </w:r>
    </w:p>
    <w:p>
      <w:pPr>
        <w:pStyle w:val="FirstParagraph"/>
      </w:pPr>
      <w:r>
        <w:t xml:space="preserve">ARE’s 2026 plan depends heavily on capital recycling. At the end of 1Q, management’s midpoint assumed</w:t>
      </w:r>
      <w:r>
        <w:t xml:space="preserve"> </w:t>
      </w:r>
      <m:oMath>
        <m:r>
          <m:t>2.9</m:t>
        </m:r>
        <m:r>
          <m:t>b</m:t>
        </m:r>
        <m:r>
          <m:t>i</m:t>
        </m:r>
        <m:r>
          <m:t>l</m:t>
        </m:r>
        <m:r>
          <m:t>l</m:t>
        </m:r>
        <m:r>
          <m:t>i</m:t>
        </m:r>
        <m:r>
          <m:t>o</m:t>
        </m:r>
        <m:r>
          <m:t>n</m:t>
        </m:r>
        <m:r>
          <m:rPr>
            <m:sty m:val="p"/>
          </m:rPr>
          <m:t>*</m:t>
        </m:r>
        <m:r>
          <m:rPr>
            <m:sty m:val="p"/>
          </m:rPr>
          <m:t>*</m:t>
        </m:r>
        <m:r>
          <m:t>o</m:t>
        </m:r>
        <m:r>
          <m:t>f</m:t>
        </m:r>
        <m:r>
          <m:t>d</m:t>
        </m:r>
        <m:r>
          <m:t>i</m:t>
        </m:r>
        <m:r>
          <m:t>s</m:t>
        </m:r>
        <m:r>
          <m:t>p</m:t>
        </m:r>
        <m:r>
          <m:t>o</m:t>
        </m:r>
        <m:r>
          <m:t>s</m:t>
        </m:r>
        <m:r>
          <m:t>i</m:t>
        </m:r>
        <m:r>
          <m:t>t</m:t>
        </m:r>
        <m:r>
          <m:t>i</m:t>
        </m:r>
        <m:r>
          <m:t>o</m:t>
        </m:r>
        <m:r>
          <m:t>n</m:t>
        </m:r>
        <m:r>
          <m:t>s</m:t>
        </m:r>
        <m:r>
          <m:t>a</m:t>
        </m:r>
        <m:r>
          <m:t>n</m:t>
        </m:r>
        <m:r>
          <m:t>d</m:t>
        </m:r>
        <m:r>
          <m:t>s</m:t>
        </m:r>
        <m:r>
          <m:t>a</m:t>
        </m:r>
        <m:r>
          <m:t>l</m:t>
        </m:r>
        <m:r>
          <m:t>e</m:t>
        </m:r>
        <m:r>
          <m:t>s</m:t>
        </m:r>
        <m:r>
          <m:t>o</m:t>
        </m:r>
        <m:r>
          <m:t>f</m:t>
        </m:r>
        <m:r>
          <m:t>p</m:t>
        </m:r>
        <m:r>
          <m:t>a</m:t>
        </m:r>
        <m:r>
          <m:t>r</m:t>
        </m:r>
        <m:r>
          <m:t>t</m:t>
        </m:r>
        <m:r>
          <m:t>i</m:t>
        </m:r>
        <m:r>
          <m:t>a</m:t>
        </m:r>
        <m:r>
          <m:t>l</m:t>
        </m:r>
        <m:r>
          <m:t>i</m:t>
        </m:r>
        <m:r>
          <m:t>n</m:t>
        </m:r>
        <m:r>
          <m:t>t</m:t>
        </m:r>
        <m:r>
          <m:t>e</m:t>
        </m:r>
        <m:r>
          <m:t>r</m:t>
        </m:r>
        <m:r>
          <m:t>e</m:t>
        </m:r>
        <m:r>
          <m:t>s</m:t>
        </m:r>
        <m:r>
          <m:t>t</m:t>
        </m:r>
        <m:r>
          <m:t>s</m:t>
        </m:r>
        <m:r>
          <m:t>f</m:t>
        </m:r>
        <m:r>
          <m:t>o</m:t>
        </m:r>
        <m:r>
          <m:t>r</m:t>
        </m:r>
        <m:r>
          <m:t>t</m:t>
        </m:r>
        <m:r>
          <m:t>h</m:t>
        </m:r>
        <m:r>
          <m:t>e</m:t>
        </m:r>
        <m:r>
          <m:t>y</m:t>
        </m:r>
        <m:r>
          <m:t>e</m:t>
        </m:r>
        <m:r>
          <m:t>a</m:t>
        </m:r>
        <m:r>
          <m:t>r</m:t>
        </m:r>
        <m:r>
          <m:rPr>
            <m:sty m:val="p"/>
          </m:rPr>
          <m:t>,</m:t>
        </m:r>
        <m:r>
          <m:t>w</m:t>
        </m:r>
        <m:r>
          <m:t>i</m:t>
        </m:r>
        <m:r>
          <m:t>t</m:t>
        </m:r>
        <m:r>
          <m:t>h</m:t>
        </m:r>
        <m:r>
          <m:t>a</m:t>
        </m:r>
        <m:r>
          <m:t>w</m:t>
        </m:r>
        <m:r>
          <m:t>e</m:t>
        </m:r>
        <m:r>
          <m:t>i</m:t>
        </m:r>
        <m:r>
          <m:t>g</m:t>
        </m:r>
        <m:r>
          <m:t>h</m:t>
        </m:r>
        <m:r>
          <m:t>t</m:t>
        </m:r>
        <m:r>
          <m:t>e</m:t>
        </m:r>
        <m:r>
          <m:t>d</m:t>
        </m:r>
        <m:r>
          <m:rPr>
            <m:sty m:val="p"/>
          </m:rPr>
          <m:t>−</m:t>
        </m:r>
        <m:r>
          <m:t>a</m:t>
        </m:r>
        <m:r>
          <m:t>v</m:t>
        </m:r>
        <m:r>
          <m:t>e</m:t>
        </m:r>
        <m:r>
          <m:t>r</m:t>
        </m:r>
        <m:r>
          <m:t>a</m:t>
        </m:r>
        <m:r>
          <m:t>g</m:t>
        </m:r>
        <m:r>
          <m:t>e</m:t>
        </m:r>
        <m:r>
          <m:t>p</m:t>
        </m:r>
        <m:r>
          <m:t>r</m:t>
        </m:r>
        <m:r>
          <m:t>o</m:t>
        </m:r>
        <m:r>
          <m:t>j</m:t>
        </m:r>
        <m:r>
          <m:t>e</m:t>
        </m:r>
        <m:r>
          <m:t>c</m:t>
        </m:r>
        <m:r>
          <m:t>t</m:t>
        </m:r>
        <m:r>
          <m:t>e</m:t>
        </m:r>
        <m:r>
          <m:t>d</m:t>
        </m:r>
        <m:r>
          <m:t>c</m:t>
        </m:r>
        <m:r>
          <m:t>o</m:t>
        </m:r>
        <m:r>
          <m:t>m</m:t>
        </m:r>
        <m:r>
          <m:t>p</m:t>
        </m:r>
        <m:r>
          <m:t>l</m:t>
        </m:r>
        <m:r>
          <m:t>e</m:t>
        </m:r>
        <m:r>
          <m:t>t</m:t>
        </m:r>
        <m:r>
          <m:t>i</m:t>
        </m:r>
        <m:r>
          <m:t>o</m:t>
        </m:r>
        <m:r>
          <m:t>n</m:t>
        </m:r>
        <m:r>
          <m:t>d</m:t>
        </m:r>
        <m:r>
          <m:t>a</m:t>
        </m:r>
        <m:r>
          <m:t>t</m:t>
        </m:r>
        <m:r>
          <m:t>e</m:t>
        </m:r>
        <m:r>
          <m:t>o</m:t>
        </m:r>
        <m:r>
          <m:t>f</m:t>
        </m:r>
        <m:r>
          <m:rPr>
            <m:sty m:val="p"/>
          </m:rPr>
          <m:t>*</m:t>
        </m:r>
        <m:r>
          <m:rPr>
            <m:sty m:val="p"/>
          </m:rPr>
          <m:t>*</m:t>
        </m:r>
        <m:r>
          <m:t>A</m:t>
        </m:r>
        <m:r>
          <m:t>u</m:t>
        </m:r>
        <m:r>
          <m:t>g</m:t>
        </m:r>
        <m:r>
          <m:t>u</m:t>
        </m:r>
        <m:r>
          <m:t>s</m:t>
        </m:r>
        <m:r>
          <m:t>t</m:t>
        </m:r>
        <m:r>
          <m:t>2026</m:t>
        </m:r>
        <m:r>
          <m:rPr>
            <m:sty m:val="p"/>
          </m:rPr>
          <m:t>*</m:t>
        </m:r>
        <m:r>
          <m:rPr>
            <m:sty m:val="p"/>
          </m:rPr>
          <m:t>*</m:t>
        </m:r>
        <m:r>
          <m:rPr>
            <m:sty m:val="p"/>
          </m:rPr>
          <m:t>.</m:t>
        </m:r>
        <m:r>
          <m:t>I</m:t>
        </m:r>
        <m:r>
          <m:t>t</m:t>
        </m:r>
        <m:r>
          <m:t>h</m:t>
        </m:r>
        <m:r>
          <m:t>a</m:t>
        </m:r>
        <m:r>
          <m:t>d</m:t>
        </m:r>
        <m:r>
          <m:t>i</m:t>
        </m:r>
        <m:r>
          <m:t>d</m:t>
        </m:r>
        <m:r>
          <m:t>e</m:t>
        </m:r>
        <m:r>
          <m:t>n</m:t>
        </m:r>
        <m:r>
          <m:t>t</m:t>
        </m:r>
        <m:r>
          <m:t>i</m:t>
        </m:r>
        <m:r>
          <m:t>f</m:t>
        </m:r>
        <m:r>
          <m:t>i</m:t>
        </m:r>
        <m:r>
          <m:t>e</m:t>
        </m:r>
        <m:r>
          <m:t>d</m:t>
        </m:r>
        <m:r>
          <m:t>o</m:t>
        </m:r>
        <m:r>
          <m:t>r</m:t>
        </m:r>
        <m:r>
          <m:t>p</m:t>
        </m:r>
        <m:r>
          <m:t>u</m:t>
        </m:r>
        <m:r>
          <m:t>t</m:t>
        </m:r>
        <m:r>
          <m:t>i</m:t>
        </m:r>
        <m:r>
          <m:t>n</m:t>
        </m:r>
        <m:r>
          <m:t>p</m:t>
        </m:r>
        <m:r>
          <m:t>r</m:t>
        </m:r>
        <m:r>
          <m:t>o</m:t>
        </m:r>
        <m:r>
          <m:t>c</m:t>
        </m:r>
        <m:r>
          <m:t>e</m:t>
        </m:r>
        <m:r>
          <m:t>s</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2.33 billion</w:t>
      </w:r>
      <w:r>
        <w:t xml:space="preserve"> </w:t>
      </w:r>
      <w:r>
        <w:t xml:space="preserve">of transactions, including only about $151 million that was completed or pending as of the April earnings release.</w:t>
      </w:r>
    </w:p>
    <w:p>
      <w:pPr>
        <w:pStyle w:val="BodyText"/>
      </w:pPr>
      <w:r>
        <w:t xml:space="preserve">This makes the upcoming call especially consequential:</w:t>
      </w:r>
    </w:p>
    <w:p>
      <w:pPr>
        <w:pStyle w:val="Compact"/>
        <w:numPr>
          <w:ilvl w:val="0"/>
          <w:numId w:val="1004"/>
        </w:numPr>
      </w:pPr>
      <w:r>
        <w:rPr>
          <w:b/>
          <w:bCs/>
        </w:rPr>
        <w:t xml:space="preserve">Bullish outcome:</w:t>
      </w:r>
      <w:r>
        <w:t xml:space="preserve"> </w:t>
      </w:r>
      <w:r>
        <w:t xml:space="preserve">meaningful transactions close or move to binding/pending status; proceeds reduce commercial paper / short-term borrowings; leverage trends toward the 4Q target.</w:t>
      </w:r>
    </w:p>
    <w:p>
      <w:pPr>
        <w:pStyle w:val="Compact"/>
        <w:numPr>
          <w:ilvl w:val="0"/>
          <w:numId w:val="1004"/>
        </w:numPr>
      </w:pPr>
      <w:r>
        <w:rPr>
          <w:b/>
          <w:bCs/>
        </w:rPr>
        <w:t xml:space="preserve">Neutral outcome:</w:t>
      </w:r>
      <w:r>
        <w:t xml:space="preserve"> </w:t>
      </w:r>
      <w:r>
        <w:t xml:space="preserve">process remains active, but closings shift modestly later; management retains the annual target.</w:t>
      </w:r>
    </w:p>
    <w:p>
      <w:pPr>
        <w:pStyle w:val="Compact"/>
        <w:numPr>
          <w:ilvl w:val="0"/>
          <w:numId w:val="1004"/>
        </w:numPr>
      </w:pPr>
      <w:r>
        <w:rPr>
          <w:b/>
          <w:bCs/>
        </w:rPr>
        <w:t xml:space="preserve">Bearish outcome:</w:t>
      </w:r>
      <w:r>
        <w:t xml:space="preserve"> </w:t>
      </w:r>
      <w:r>
        <w:t xml:space="preserve">asset-sale timing, pricing, or buyer financing weakens; the capital plan becomes less certain and pressure shifts back to liquidity, leverage, and future FFO.</w:t>
      </w:r>
    </w:p>
    <w:p>
      <w:pPr>
        <w:pStyle w:val="FirstParagraph"/>
      </w:pPr>
      <w:r>
        <w:t xml:space="preserve">There is an important trade-off:</w:t>
      </w:r>
      <w:r>
        <w:t xml:space="preserve"> </w:t>
      </w:r>
      <w:r>
        <w:rPr>
          <w:b/>
          <w:bCs/>
        </w:rPr>
        <w:t xml:space="preserve">later sales support near-term FFO</w:t>
      </w:r>
      <w:r>
        <w:t xml:space="preserve">, because ARE keeps the income from the assets longer, but</w:t>
      </w:r>
      <w:r>
        <w:t xml:space="preserve"> </w:t>
      </w:r>
      <w:r>
        <w:rPr>
          <w:b/>
          <w:bCs/>
        </w:rPr>
        <w:t xml:space="preserve">earlier sales improve leverage and reduce short-term funding needs</w:t>
      </w:r>
      <w:r>
        <w:t xml:space="preserve">. Investors should prioritize balance-sheet progress and the credibility of transaction execution over a modest quarter-to-quarter FFO benefit.</w:t>
      </w:r>
    </w:p>
    <w:bookmarkEnd w:id="13"/>
    <w:bookmarkStart w:id="14" w:name="Xcd9d25af163490b53baf8994b9fccf8978f411d"/>
    <w:p>
      <w:pPr>
        <w:pStyle w:val="Heading2"/>
      </w:pPr>
      <w:r>
        <w:t xml:space="preserve">Guidance: the most important financial call</w:t>
      </w:r>
    </w:p>
    <w:p>
      <w:pPr>
        <w:pStyle w:val="FirstParagraph"/>
      </w:pPr>
      <w:r>
        <w:t xml:space="preserve">At 1Q, ARE retained its</w:t>
      </w:r>
      <w:r>
        <w:t xml:space="preserve"> </w:t>
      </w:r>
      <w:r>
        <w:rPr>
          <w:b/>
          <w:bCs/>
        </w:rPr>
        <w:t xml:space="preserve">2026 adjusted FFO/share guidance of</w:t>
      </w:r>
      <w:r>
        <w:rPr>
          <w:b/>
          <w:bCs/>
        </w:rPr>
        <w:t xml:space="preserve"> </w:t>
      </w:r>
      <m:oMath>
        <m:r>
          <m:t>6.30</m:t>
        </m:r>
        <m:r>
          <m:rPr>
            <m:sty m:val="p"/>
          </m:rPr>
          <m:t>–</m:t>
        </m:r>
      </m:oMath>
      <w:r>
        <w:rPr>
          <w:b/>
          <w:bCs/>
        </w:rPr>
        <w:t xml:space="preserve">6.50</w:t>
      </w:r>
      <w:r>
        <w:t xml:space="preserve">, midpoint</w:t>
      </w:r>
      <w:r>
        <w:t xml:space="preserve"> </w:t>
      </w:r>
      <m:oMath>
        <m:r>
          <m:t>6.40</m:t>
        </m:r>
        <m:r>
          <m:rPr>
            <m:sty m:val="p"/>
          </m:rPr>
          <m:t>*</m:t>
        </m:r>
        <m:r>
          <m:rPr>
            <m:sty m:val="p"/>
          </m:rPr>
          <m:t>*</m:t>
        </m:r>
        <m:r>
          <m:rPr>
            <m:sty m:val="p"/>
          </m:rPr>
          <m:t>,</m:t>
        </m:r>
        <m:r>
          <m:t>w</m:t>
        </m:r>
        <m:r>
          <m:t>h</m:t>
        </m:r>
        <m:r>
          <m:t>i</m:t>
        </m:r>
        <m:r>
          <m:t>l</m:t>
        </m:r>
        <m:r>
          <m:t>e</m:t>
        </m:r>
        <m:r>
          <m:t>n</m:t>
        </m:r>
        <m:r>
          <m:t>a</m:t>
        </m:r>
        <m:r>
          <m:t>r</m:t>
        </m:r>
        <m:r>
          <m:t>r</m:t>
        </m:r>
        <m:r>
          <m:t>o</m:t>
        </m:r>
        <m:r>
          <m:t>w</m:t>
        </m:r>
        <m:r>
          <m:t>i</m:t>
        </m:r>
        <m:r>
          <m:t>n</m:t>
        </m:r>
        <m:r>
          <m:t>g</m:t>
        </m:r>
        <m:r>
          <m:t>t</m:t>
        </m:r>
        <m:r>
          <m:t>h</m:t>
        </m:r>
        <m:r>
          <m:t>e</m:t>
        </m:r>
        <m:r>
          <m:t>r</m:t>
        </m:r>
        <m:r>
          <m:t>a</m:t>
        </m:r>
        <m:r>
          <m:t>n</m:t>
        </m:r>
        <m:r>
          <m:t>g</m:t>
        </m:r>
        <m:r>
          <m:t>e</m:t>
        </m:r>
        <m:r>
          <m:rPr>
            <m:sty m:val="p"/>
          </m:rPr>
          <m:t>.</m:t>
        </m:r>
        <m:r>
          <m:t>I</m:t>
        </m:r>
        <m:r>
          <m:t>t</m:t>
        </m:r>
        <m:r>
          <m:t>a</m:t>
        </m:r>
        <m:r>
          <m:t>l</m:t>
        </m:r>
        <m:r>
          <m:t>s</m:t>
        </m:r>
        <m:r>
          <m:t>o</m:t>
        </m:r>
        <m:r>
          <m:t>p</m:t>
        </m:r>
        <m:r>
          <m:t>r</m:t>
        </m:r>
        <m:r>
          <m:t>o</m:t>
        </m:r>
        <m:r>
          <m:t>j</m:t>
        </m:r>
        <m:r>
          <m:t>e</m:t>
        </m:r>
        <m:r>
          <m:t>c</m:t>
        </m:r>
        <m:r>
          <m:t>t</m:t>
        </m:r>
        <m:r>
          <m:t>e</m:t>
        </m:r>
        <m:r>
          <m:t>d</m:t>
        </m:r>
        <m:r>
          <m:t>4</m:t>
        </m:r>
        <m:r>
          <m:t>Q</m:t>
        </m:r>
        <m:r>
          <m:t>a</m:t>
        </m:r>
        <m:r>
          <m:t>d</m:t>
        </m:r>
        <m:r>
          <m:t>j</m:t>
        </m:r>
        <m:r>
          <m:t>u</m:t>
        </m:r>
        <m:r>
          <m:t>s</m:t>
        </m:r>
        <m:r>
          <m:t>t</m:t>
        </m:r>
        <m:r>
          <m:t>e</m:t>
        </m:r>
        <m:r>
          <m:t>d</m:t>
        </m:r>
        <m:r>
          <m:t>F</m:t>
        </m:r>
        <m:r>
          <m:t>F</m:t>
        </m:r>
        <m:r>
          <m:t>O</m:t>
        </m:r>
        <m:r>
          <m:rPr>
            <m:sty m:val="p"/>
          </m:rPr>
          <m:t>/</m:t>
        </m:r>
        <m:r>
          <m:t>s</m:t>
        </m:r>
        <m:r>
          <m:t>h</m:t>
        </m:r>
        <m:r>
          <m:t>a</m:t>
        </m:r>
        <m:r>
          <m:t>r</m:t>
        </m:r>
        <m:r>
          <m:t>e</m:t>
        </m:r>
        <m:r>
          <m:t>o</m:t>
        </m:r>
        <m:r>
          <m:t>f</m:t>
        </m:r>
        <m:r>
          <m:rPr>
            <m:sty m:val="p"/>
          </m:rPr>
          <m:t>*</m:t>
        </m:r>
        <m:r>
          <m:rPr>
            <m:sty m:val="p"/>
          </m:rPr>
          <m:t>*</m:t>
        </m:r>
      </m:oMath>
      <w:r>
        <w:rPr>
          <w:b/>
          <w:bCs/>
        </w:rPr>
        <w:t xml:space="preserve">1.40–$1.50</w:t>
      </w:r>
      <w:r>
        <w:t xml:space="preserve">, reflecting lower capitalized interest, expected dispositions, and continuing occupancy pressure.</w:t>
      </w:r>
    </w:p>
    <w:p>
      <w:pPr>
        <w:pStyle w:val="BodyText"/>
      </w:pPr>
      <w:r>
        <w:t xml:space="preserve">Management’s full-year framework implies that 2Q and 3Q combined must generate about</w:t>
      </w:r>
      <w:r>
        <w:t xml:space="preserve"> </w:t>
      </w:r>
      <w:r>
        <w:rPr>
          <w:b/>
          <w:bCs/>
        </w:rPr>
        <w:t xml:space="preserve">$3.22/share</w:t>
      </w:r>
      <w:r>
        <w:t xml:space="preserve"> </w:t>
      </w:r>
      <w:r>
        <w:t xml:space="preserve">at the midpoint after 1Q’s $1.73 and the projected 4Q midpoint of $1.45.</w:t>
      </w:r>
    </w:p>
    <w:p>
      <w:pPr>
        <w:pStyle w:val="BodyText"/>
      </w:pPr>
      <w:r>
        <w:t xml:space="preserve">The report’s central question is therefore not simply whether 2Q FFO beats or misses by a few cents; it is whether management can</w:t>
      </w:r>
      <w:r>
        <w:t xml:space="preserve"> </w:t>
      </w:r>
      <w:r>
        <w:rPr>
          <w:b/>
          <w:bCs/>
        </w:rPr>
        <w:t xml:space="preserve">reaffirm the $6.40 midpoint without relying on more favorable sale timing, investment gains, or other non-core offsets</w:t>
      </w:r>
      <w:r>
        <w:t xml:space="preserve">.</w:t>
      </w:r>
    </w:p>
    <w:p>
      <w:pPr>
        <w:pStyle w:val="BodyText"/>
      </w:pPr>
      <w:r>
        <w:t xml:space="preserve">Specific guidance items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Framework</w:t>
            </w:r>
          </w:p>
        </w:tc>
        <w:tc>
          <w:tcPr/>
          <w:p>
            <w:pPr>
              <w:pStyle w:val="Compact"/>
            </w:pPr>
            <w:r>
              <w:t xml:space="preserve">What investors should look for in 2Q</w:t>
            </w:r>
          </w:p>
        </w:tc>
      </w:tr>
      <w:tr>
        <w:tc>
          <w:tcPr/>
          <w:p>
            <w:pPr>
              <w:pStyle w:val="Compact"/>
            </w:pPr>
            <w:r>
              <w:t xml:space="preserve">2026 adjusted FFO/share</w:t>
            </w:r>
          </w:p>
        </w:tc>
        <w:tc>
          <w:tcPr/>
          <w:p>
            <w:pPr>
              <w:pStyle w:val="Compact"/>
              <w:jc w:val="right"/>
            </w:pPr>
            <m:oMath>
              <m:r>
                <m:t>6.30</m:t>
              </m:r>
              <m:r>
                <m:rPr>
                  <m:sty m:val="p"/>
                </m:rPr>
                <m:t>–</m:t>
              </m:r>
            </m:oMath>
            <w:r>
              <w:t xml:space="preserve">6.50</w:t>
            </w:r>
          </w:p>
        </w:tc>
        <w:tc>
          <w:tcPr/>
          <w:p>
            <w:pPr>
              <w:pStyle w:val="Compact"/>
            </w:pPr>
            <w:r>
              <w:t xml:space="preserve">Reaffirmation, range changes, and underlying assumptions</w:t>
            </w:r>
          </w:p>
        </w:tc>
      </w:tr>
      <w:tr>
        <w:tc>
          <w:tcPr/>
          <w:p>
            <w:pPr>
              <w:pStyle w:val="Compact"/>
            </w:pPr>
            <w:r>
              <w:t xml:space="preserve">Year-end operating occupancy</w:t>
            </w:r>
          </w:p>
        </w:tc>
        <w:tc>
          <w:tcPr/>
          <w:p>
            <w:pPr>
              <w:pStyle w:val="Compact"/>
              <w:jc w:val="right"/>
            </w:pPr>
            <w:r>
              <w:t xml:space="preserve">86.2%–87.8%</w:t>
            </w:r>
          </w:p>
        </w:tc>
        <w:tc>
          <w:tcPr/>
          <w:p>
            <w:pPr>
              <w:pStyle w:val="Compact"/>
            </w:pPr>
            <w:r>
              <w:t xml:space="preserve">Whether 2Q expirations or leasing alter the outlook</w:t>
            </w:r>
          </w:p>
        </w:tc>
      </w:tr>
      <w:tr>
        <w:tc>
          <w:tcPr/>
          <w:p>
            <w:pPr>
              <w:pStyle w:val="Compact"/>
            </w:pPr>
            <w:r>
              <w:t xml:space="preserve">Same-property NOI</w:t>
            </w:r>
          </w:p>
        </w:tc>
        <w:tc>
          <w:tcPr/>
          <w:p>
            <w:pPr>
              <w:pStyle w:val="Compact"/>
              <w:jc w:val="right"/>
            </w:pPr>
            <w:r>
              <w:t xml:space="preserve">(10.5%) to (8.5%)</w:t>
            </w:r>
          </w:p>
        </w:tc>
        <w:tc>
          <w:tcPr/>
          <w:p>
            <w:pPr>
              <w:pStyle w:val="Compact"/>
            </w:pPr>
            <w:r>
              <w:t xml:space="preserve">Evidence of a second-half inflection</w:t>
            </w:r>
          </w:p>
        </w:tc>
      </w:tr>
      <w:tr>
        <w:tc>
          <w:tcPr/>
          <w:p>
            <w:pPr>
              <w:pStyle w:val="Compact"/>
            </w:pPr>
            <w:r>
              <w:t xml:space="preserve">2026 dispositions / partial interests</w:t>
            </w:r>
          </w:p>
        </w:tc>
        <w:tc>
          <w:tcPr/>
          <w:p>
            <w:pPr>
              <w:pStyle w:val="Compact"/>
              <w:jc w:val="right"/>
            </w:pPr>
            <m:oMath>
              <m:r>
                <m:t>2.1</m:t>
              </m:r>
              <m:r>
                <m:t>B</m:t>
              </m:r>
              <m:r>
                <m:rPr>
                  <m:sty m:val="p"/>
                </m:rPr>
                <m:t>–</m:t>
              </m:r>
            </m:oMath>
            <w:r>
              <w:t xml:space="preserve">3.7B</w:t>
            </w:r>
          </w:p>
        </w:tc>
        <w:tc>
          <w:tcPr/>
          <w:p>
            <w:pPr>
              <w:pStyle w:val="Compact"/>
            </w:pPr>
            <w:r>
              <w:t xml:space="preserve">Closed volume, binding pipeline, pricing, and timing</w:t>
            </w:r>
          </w:p>
        </w:tc>
      </w:tr>
      <w:tr>
        <w:tc>
          <w:tcPr/>
          <w:p>
            <w:pPr>
              <w:pStyle w:val="Compact"/>
            </w:pPr>
            <w:r>
              <w:t xml:space="preserve">Construction spending</w:t>
            </w:r>
          </w:p>
        </w:tc>
        <w:tc>
          <w:tcPr/>
          <w:p>
            <w:pPr>
              <w:pStyle w:val="Compact"/>
              <w:jc w:val="right"/>
            </w:pPr>
            <m:oMath>
              <m:r>
                <m:t>1.5</m:t>
              </m:r>
              <m:r>
                <m:t>B</m:t>
              </m:r>
              <m:r>
                <m:rPr>
                  <m:sty m:val="p"/>
                </m:rPr>
                <m:t>–</m:t>
              </m:r>
            </m:oMath>
            <w:r>
              <w:t xml:space="preserve">2.0B</w:t>
            </w:r>
          </w:p>
        </w:tc>
        <w:tc>
          <w:tcPr/>
          <w:p>
            <w:pPr>
              <w:pStyle w:val="Compact"/>
            </w:pPr>
            <w:r>
              <w:t xml:space="preserve">Further cuts, pauses, or alternative-use conversions</w:t>
            </w:r>
          </w:p>
        </w:tc>
      </w:tr>
      <w:tr>
        <w:tc>
          <w:tcPr/>
          <w:p>
            <w:pPr>
              <w:pStyle w:val="Compact"/>
            </w:pPr>
            <w:r>
              <w:t xml:space="preserve">4Q26 net debt / adjusted EBITDA</w:t>
            </w:r>
          </w:p>
        </w:tc>
        <w:tc>
          <w:tcPr/>
          <w:p>
            <w:pPr>
              <w:pStyle w:val="Compact"/>
              <w:jc w:val="right"/>
            </w:pPr>
            <w:r>
              <w:t xml:space="preserve">5.6x–6.2x</w:t>
            </w:r>
          </w:p>
        </w:tc>
        <w:tc>
          <w:tcPr/>
          <w:p>
            <w:pPr>
              <w:pStyle w:val="Compact"/>
            </w:pPr>
            <w:r>
              <w:t xml:space="preserve">Progress toward deleveraging and commercial-paper reduction</w:t>
            </w:r>
          </w:p>
        </w:tc>
      </w:tr>
    </w:tbl>
    <w:bookmarkEnd w:id="14"/>
    <w:bookmarkStart w:id="15" w:name="Xdd28a8cb4c39a3f4afff3f0d97e3ec4f3f25cf7"/>
    <w:p>
      <w:pPr>
        <w:pStyle w:val="Heading2"/>
      </w:pPr>
      <w:r>
        <w:t xml:space="preserve">Balance sheet: a positive development, but not a substitute for asset sales</w:t>
      </w:r>
    </w:p>
    <w:p>
      <w:pPr>
        <w:pStyle w:val="FirstParagraph"/>
      </w:pPr>
      <w:r>
        <w:t xml:space="preserve">The balance sheet remains a relative strength. At 1Q-end, ARE had approximately</w:t>
      </w:r>
      <w:r>
        <w:t xml:space="preserve"> </w:t>
      </w:r>
      <w:r>
        <w:rPr>
          <w:b/>
          <w:bCs/>
        </w:rPr>
        <w:t xml:space="preserve">$4.2 billion of liquidity</w:t>
      </w:r>
      <w:r>
        <w:t xml:space="preserve">, a</w:t>
      </w:r>
      <w:r>
        <w:t xml:space="preserve"> </w:t>
      </w:r>
      <w:r>
        <w:rPr>
          <w:b/>
          <w:bCs/>
        </w:rPr>
        <w:t xml:space="preserve">10-year weighted-average debt term</w:t>
      </w:r>
      <w:r>
        <w:t xml:space="preserve">, and about</w:t>
      </w:r>
      <w:r>
        <w:t xml:space="preserve"> </w:t>
      </w:r>
      <w:r>
        <w:rPr>
          <w:b/>
          <w:bCs/>
        </w:rPr>
        <w:t xml:space="preserve">96% fixed-rate debt</w:t>
      </w:r>
      <w:r>
        <w:t xml:space="preserve">. However, net debt and preferred stock to annualized adjusted EBITDA had risen to</w:t>
      </w:r>
      <w:r>
        <w:t xml:space="preserve"> </w:t>
      </w:r>
      <w:r>
        <w:rPr>
          <w:b/>
          <w:bCs/>
        </w:rPr>
        <w:t xml:space="preserve">6.8x</w:t>
      </w:r>
      <w:r>
        <w:t xml:space="preserve">, versus a targeted 4Q26 range of</w:t>
      </w:r>
      <w:r>
        <w:t xml:space="preserve"> </w:t>
      </w:r>
      <w:r>
        <w:rPr>
          <w:b/>
          <w:bCs/>
        </w:rPr>
        <w:t xml:space="preserve">5.6x–6.2x</w:t>
      </w:r>
      <w:r>
        <w:t xml:space="preserve">.</w:t>
      </w:r>
    </w:p>
    <w:p>
      <w:pPr>
        <w:pStyle w:val="BodyText"/>
      </w:pPr>
      <w:r>
        <w:t xml:space="preserve">The company also announced in July that it had locked in terms for a replacement</w:t>
      </w:r>
      <w:r>
        <w:t xml:space="preserve"> </w:t>
      </w:r>
      <w:r>
        <w:rPr>
          <w:b/>
          <w:bCs/>
        </w:rPr>
        <w:t xml:space="preserve">$5 billion unsecured revolving credit facility</w:t>
      </w:r>
      <w:r>
        <w:t xml:space="preserve">, with an option to expand commitments by another $1 billion. The facility is expected to become effective by October 1, 2026, subject to closing conditions. This is a meaningful liquidity and refinancing positive, but it does not remove the need to execute asset sales and reduce commercial-paper borrowings.</w:t>
      </w:r>
    </w:p>
    <w:bookmarkEnd w:id="15"/>
    <w:bookmarkStart w:id="16" w:name="key-risks-into-the-print"/>
    <w:p>
      <w:pPr>
        <w:pStyle w:val="Heading2"/>
      </w:pPr>
      <w:r>
        <w:t xml:space="preserve">Key risks into the print</w:t>
      </w:r>
    </w:p>
    <w:p>
      <w:pPr>
        <w:pStyle w:val="Compact"/>
        <w:numPr>
          <w:ilvl w:val="0"/>
          <w:numId w:val="1005"/>
        </w:numPr>
      </w:pPr>
      <w:r>
        <w:rPr>
          <w:b/>
          <w:bCs/>
        </w:rPr>
        <w:t xml:space="preserve">More tenant wind-downs.</w:t>
      </w:r>
      <w:r>
        <w:t xml:space="preserve"> </w:t>
      </w:r>
      <w:r>
        <w:t xml:space="preserve">ARE increased its estimated 2026 FFO impact from potential tenant wind-downs to</w:t>
      </w:r>
      <w:r>
        <w:t xml:space="preserve"> </w:t>
      </w:r>
      <m:oMath>
        <m:r>
          <m:t>25</m:t>
        </m:r>
        <m:r>
          <m:t>m</m:t>
        </m:r>
        <m:r>
          <m:t>i</m:t>
        </m:r>
        <m:r>
          <m:t>l</m:t>
        </m:r>
        <m:r>
          <m:t>l</m:t>
        </m:r>
        <m:r>
          <m:t>i</m:t>
        </m:r>
        <m:r>
          <m:t>o</m:t>
        </m:r>
        <m:r>
          <m:t>n</m:t>
        </m:r>
        <m:r>
          <m:rPr>
            <m:sty m:val="p"/>
          </m:rPr>
          <m:t>–</m:t>
        </m:r>
      </m:oMath>
      <w:r>
        <w:rPr>
          <w:b/>
          <w:bCs/>
        </w:rPr>
        <w:t xml:space="preserve">30 million</w:t>
      </w:r>
      <w:r>
        <w:t xml:space="preserve"> </w:t>
      </w:r>
      <w:r>
        <w:t xml:space="preserve">at 1Q.</w:t>
      </w:r>
    </w:p>
    <w:p>
      <w:pPr>
        <w:pStyle w:val="Compact"/>
        <w:numPr>
          <w:ilvl w:val="0"/>
          <w:numId w:val="1005"/>
        </w:numPr>
      </w:pPr>
      <w:r>
        <w:rPr>
          <w:b/>
          <w:bCs/>
        </w:rPr>
        <w:t xml:space="preserve">Public-biotech demand remains constrained.</w:t>
      </w:r>
      <w:r>
        <w:t xml:space="preserve"> </w:t>
      </w:r>
      <w:r>
        <w:t xml:space="preserve">Management signed no public-biotech leases in 1Q, an unusual outcome for the platform.</w:t>
      </w:r>
    </w:p>
    <w:p>
      <w:pPr>
        <w:pStyle w:val="Compact"/>
        <w:numPr>
          <w:ilvl w:val="0"/>
          <w:numId w:val="1005"/>
        </w:numPr>
      </w:pPr>
      <w:r>
        <w:rPr>
          <w:b/>
          <w:bCs/>
        </w:rPr>
        <w:t xml:space="preserve">2027 expiration overhang.</w:t>
      </w:r>
      <w:r>
        <w:t xml:space="preserve"> </w:t>
      </w:r>
      <w:r>
        <w:t xml:space="preserve">ARE identified approximately</w:t>
      </w:r>
      <w:r>
        <w:t xml:space="preserve"> </w:t>
      </w:r>
      <w:r>
        <w:rPr>
          <w:b/>
          <w:bCs/>
        </w:rPr>
        <w:t xml:space="preserve">1.5 million RSF</w:t>
      </w:r>
      <w:r>
        <w:t xml:space="preserve"> </w:t>
      </w:r>
      <w:r>
        <w:t xml:space="preserve">and</w:t>
      </w:r>
      <w:r>
        <w:t xml:space="preserve"> </w:t>
      </w:r>
      <w:r>
        <w:rPr>
          <w:b/>
          <w:bCs/>
        </w:rPr>
        <w:t xml:space="preserve">$97.4 million of annual rental revenue</w:t>
      </w:r>
      <w:r>
        <w:t xml:space="preserve"> </w:t>
      </w:r>
      <w:r>
        <w:t xml:space="preserve">associated with 2027 expirations expected to experience downtime.</w:t>
      </w:r>
    </w:p>
    <w:p>
      <w:pPr>
        <w:pStyle w:val="Compact"/>
        <w:numPr>
          <w:ilvl w:val="0"/>
          <w:numId w:val="1005"/>
        </w:numPr>
      </w:pPr>
      <w:r>
        <w:rPr>
          <w:b/>
          <w:bCs/>
        </w:rPr>
        <w:t xml:space="preserve">Capitalized-interest roll-off.</w:t>
      </w:r>
      <w:r>
        <w:t xml:space="preserve"> </w:t>
      </w:r>
      <w:r>
        <w:t xml:space="preserve">Reduced capitalized interest is economically appropriate as projects are delivered, paused, sold, or no longer qualify for capitalization—but it is a mechanical headwind to reported FFO.</w:t>
      </w:r>
    </w:p>
    <w:p>
      <w:pPr>
        <w:pStyle w:val="Compact"/>
        <w:numPr>
          <w:ilvl w:val="0"/>
          <w:numId w:val="1005"/>
        </w:numPr>
      </w:pPr>
      <w:r>
        <w:rPr>
          <w:b/>
          <w:bCs/>
        </w:rPr>
        <w:t xml:space="preserve">Alternative-use strategy.</w:t>
      </w:r>
      <w:r>
        <w:t xml:space="preserve"> </w:t>
      </w:r>
      <w:r>
        <w:t xml:space="preserve">Advanced-technology leasing could lower capex and accelerate revenue, but may produce lower rents and could alter the long-term mix and economics of selected projects.</w:t>
      </w:r>
    </w:p>
    <w:bookmarkEnd w:id="16"/>
    <w:bookmarkStart w:id="17" w:name="bottom-line"/>
    <w:p>
      <w:pPr>
        <w:pStyle w:val="Heading2"/>
      </w:pPr>
      <w:r>
        <w:t xml:space="preserve">Bottom line</w:t>
      </w:r>
    </w:p>
    <w:p>
      <w:pPr>
        <w:pStyle w:val="FirstParagraph"/>
      </w:pPr>
      <w:r>
        <w:rPr>
          <w:b/>
          <w:bCs/>
        </w:rPr>
        <w:t xml:space="preserve">This is primarily a credibility-and-execution quarter.</w:t>
      </w:r>
      <w:r>
        <w:t xml:space="preserve"> </w:t>
      </w:r>
      <w:r>
        <w:t xml:space="preserve">The near-term operating print is likely to remain challenged because of known lease expirations and still-soft life-science leasing conditions. A favorable reaction would most likely require some combination of:</w:t>
      </w:r>
    </w:p>
    <w:p>
      <w:pPr>
        <w:pStyle w:val="Compact"/>
        <w:numPr>
          <w:ilvl w:val="0"/>
          <w:numId w:val="1006"/>
        </w:numPr>
      </w:pPr>
      <w:r>
        <w:t xml:space="preserve">leasing near or above the roughly 900,000-RSF level management discussed after 1Q;</w:t>
      </w:r>
    </w:p>
    <w:p>
      <w:pPr>
        <w:pStyle w:val="Compact"/>
        <w:numPr>
          <w:ilvl w:val="0"/>
          <w:numId w:val="1006"/>
        </w:numPr>
      </w:pPr>
      <w:r>
        <w:t xml:space="preserve">confirmation that the 1.1 million RSF September delivery pipeline remains on track;</w:t>
      </w:r>
    </w:p>
    <w:p>
      <w:pPr>
        <w:pStyle w:val="Compact"/>
        <w:numPr>
          <w:ilvl w:val="0"/>
          <w:numId w:val="1006"/>
        </w:numPr>
      </w:pPr>
      <w:r>
        <w:t xml:space="preserve">tangible progress on the $2.9 billion capital-recycling plan;</w:t>
      </w:r>
    </w:p>
    <w:p>
      <w:pPr>
        <w:pStyle w:val="Compact"/>
        <w:numPr>
          <w:ilvl w:val="0"/>
          <w:numId w:val="1006"/>
        </w:numPr>
      </w:pPr>
      <w:r>
        <w:t xml:space="preserve">reaffirmed full-year FFO and leverage guidance; and</w:t>
      </w:r>
    </w:p>
    <w:p>
      <w:pPr>
        <w:pStyle w:val="Compact"/>
        <w:numPr>
          <w:ilvl w:val="0"/>
          <w:numId w:val="1006"/>
        </w:numPr>
      </w:pPr>
      <w:r>
        <w:t xml:space="preserve">a disciplined update on construction pauses, capex reductions, and potential advanced-technology conversions.</w:t>
      </w:r>
    </w:p>
    <w:p>
      <w:pPr>
        <w:pStyle w:val="FirstParagraph"/>
      </w:pPr>
      <w:r>
        <w:t xml:space="preserve">Conversely, a guidance cut, delayed or less-certain dispositions, additional tenant distress, or slippage in the September occupancy bridge would reinforce the concern that ARE’s occupancy trough and FFO reset extend beyond 2026.</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2026-08-03T00:22:16Z</dcterms:created>
  <dcterms:modified xsi:type="dcterms:W3CDTF">2026-08-03T00:22:16Z</dcterms:modified>
</cp:coreProperties>
</file>

<file path=docProps/custom.xml><?xml version="1.0" encoding="utf-8"?>
<Properties xmlns="http://schemas.openxmlformats.org/officeDocument/2006/custom-properties" xmlns:vt="http://schemas.openxmlformats.org/officeDocument/2006/docPropsVTypes"/>
</file>