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~$1.64 vs. cons $1.632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 Rate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~86.3% vs. cons 86.56%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Dispositions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~$425M vs. cons $575M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6.35</m:t>
              </m:r>
              <m:r>
                <m:rPr>
                  <m:sty m:val="p"/>
                </m:rPr>
                <m:t>−</m:t>
              </m:r>
            </m:oMath>
            <w:r>
              <w:t xml:space="preserve">6.40 midpoint vs. cons $6.360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Occupancy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~86.5% midpoint vs. cons 87.09%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Same-Store NOI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~-9.5% to -10.5% vs. cons -10.61% (VA, Aug 1,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Dispositions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</m:t>
              </m:r>
              <m:r>
                <m:rPr>
                  <m:sty m:val="p"/>
                </m:rPr>
                <m:t>−</m:t>
              </m:r>
            </m:oMath>
            <w:r>
              <w:t xml:space="preserve">2.9B vs. cons $2.77B (VA, Aug 1,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models Q3 implicit cut (-3.1% vs. cons) after FY maintained; occupancy guide cut triggers estimate revisions over 2-3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2026-08-04T02:00:31Z</dcterms:created>
  <dcterms:modified xsi:type="dcterms:W3CDTF">2026-08-04T02:00:31Z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