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Alexandria Real Estate Equities (ARE)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Alexandria Real Estate Equities, Inc.</w:t>
            </w:r>
          </w:p>
        </w:tc>
      </w:tr>
      <w:tr>
        <w:tc>
          <w:tcPr>
            <w:tcW w:type="dxa" w:w="4320"/>
          </w:tcPr>
          <w:p>
            <w:r>
              <w:rPr>
                <w:rFonts w:ascii="Calibri" w:hAnsi="Calibri"/>
                <w:b/>
                <w:sz w:val="22"/>
              </w:rPr>
              <w:t>Ticker</w:t>
            </w:r>
          </w:p>
        </w:tc>
        <w:tc>
          <w:tcPr>
            <w:tcW w:type="dxa" w:w="4320"/>
          </w:tcPr>
          <w:p>
            <w:r>
              <w:rPr>
                <w:rFonts w:ascii="Calibri" w:hAnsi="Calibri"/>
                <w:sz w:val="22"/>
              </w:rPr>
              <w:t>ARE (NYSE)</w:t>
            </w:r>
          </w:p>
        </w:tc>
      </w:tr>
      <w:tr>
        <w:tc>
          <w:tcPr>
            <w:tcW w:type="dxa" w:w="4320"/>
          </w:tcPr>
          <w:p>
            <w:r>
              <w:rPr>
                <w:rFonts w:ascii="Calibri" w:hAnsi="Calibri"/>
                <w:b/>
                <w:sz w:val="22"/>
              </w:rPr>
              <w:t>Earnings Date</w:t>
            </w:r>
          </w:p>
        </w:tc>
        <w:tc>
          <w:tcPr>
            <w:tcW w:type="dxa" w:w="4320"/>
          </w:tcPr>
          <w:p>
            <w:r>
              <w:rPr>
                <w:rFonts w:ascii="Calibri" w:hAnsi="Calibri"/>
                <w:sz w:val="22"/>
              </w:rPr>
              <w:t>August 4,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r>
        <w:tc>
          <w:tcPr>
            <w:tcW w:type="dxa" w:w="4320"/>
          </w:tcPr>
          <w:p>
            <w:r>
              <w:rPr>
                <w:rFonts w:ascii="Calibri" w:hAnsi="Calibri"/>
                <w:b/>
                <w:sz w:val="22"/>
              </w:rPr>
              <w:t>Sector ETF Benchmark</w:t>
            </w:r>
          </w:p>
        </w:tc>
        <w:tc>
          <w:tcPr>
            <w:tcW w:type="dxa" w:w="4320"/>
          </w:tcPr>
          <w:p>
            <w:r>
              <w:rPr>
                <w:rFonts w:ascii="Calibri" w:hAnsi="Calibri"/>
                <w:sz w:val="22"/>
              </w:rPr>
              <w:t>IYR (iShares U.S. Real Estate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skewed toward a meet-or-slight-miss outcome on Core FFO, with the real debate centered on whether Q2 leasing volume (~900 Ksf guided) and occupancy trajectory can signal a credible 2H recovery — the single biggest swing factor heading into the print.</w:t>
      </w:r>
    </w:p>
    <w:p>
      <w:r>
        <w:rPr>
          <w:rFonts w:ascii="Calibri" w:hAnsi="Calibri"/>
          <w:color w:val="525866"/>
          <w:sz w:val="22"/>
        </w:rPr>
        <w:t>Heading into Q2 2026, the bar for ARE is low in absolute terms but not forgiving on the margin: consensus Core FFO of $1.63 per share represents a 30% year-over-year decline, and management has already tightened the full-year midpoint to $6.40 while guiding occupancy to trough in Q2 before recovering in 2H. The tone from the Q1 call was defensive — zero public biotech leases signed, a growing tenant watch list ($25–$30M), and a pivot toward advanced technology tenants and joint ventures for core assets — and there has been no post-earnings guidance revision to suggest a change in posture. Estimate revisions have been modestly negative since the Q1 print (Core FFO Q2 consensus slipped from $1.65 to $1.63), tracking guidance rather than diverging, which limits the risk of a large downside surprise but also caps upside. The stock has recovered ~27% since the Q1 earnings date (vs. IYR +3% and SPY +5%), suggesting the market has already priced in stabilization, making the stock setup asymmetric to the downside if leasing or occupancy disappoints. The key wildcard is the Q2 leasing volume figure: management guided ~900 Ksf (vs. 647 Ksf in Q1), and any shortfall — particularly continued absence of public biotech demand — would reignite concerns about the 2H occupancy recovery thesis and the $2.9B disposition program timeline.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absolute bar — Core FFO of $1.63/share (-30% YoY) and occupancy of ~86.6% — but the bigger swing factor is whether Q2 leasing volume and same-property NOI trajectory can validate the 2H recovery narrative. Occupancy is the more consequential KPI given its direct link to the disposition-driven recovery thesis.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FFO per Share ($)</w:t>
            </w:r>
          </w:p>
        </w:tc>
        <w:tc>
          <w:tcPr>
            <w:tcW w:type="dxa" w:w="1234"/>
          </w:tcPr>
          <w:p>
            <w:r>
              <w:rPr>
                <w:rFonts w:ascii="Calibri" w:hAnsi="Calibri"/>
                <w:sz w:val="22"/>
              </w:rPr>
              <w:t>$1.73</w:t>
            </w:r>
          </w:p>
        </w:tc>
        <w:tc>
          <w:tcPr>
            <w:tcW w:type="dxa" w:w="1234"/>
          </w:tcPr>
          <w:p>
            <w:r>
              <w:rPr>
                <w:rFonts w:ascii="Calibri" w:hAnsi="Calibri"/>
                <w:sz w:val="22"/>
              </w:rPr>
              <w:t>$2.33</w:t>
            </w:r>
          </w:p>
        </w:tc>
        <w:tc>
          <w:tcPr>
            <w:tcW w:type="dxa" w:w="1234"/>
          </w:tcPr>
          <w:p>
            <w:r>
              <w:rPr>
                <w:rFonts w:ascii="Calibri" w:hAnsi="Calibri"/>
                <w:sz w:val="22"/>
              </w:rPr>
              <w:t>$1.63</w:t>
            </w:r>
          </w:p>
        </w:tc>
        <w:tc>
          <w:tcPr>
            <w:tcW w:type="dxa" w:w="1234"/>
          </w:tcPr>
          <w:p>
            <w:r>
              <w:rPr>
                <w:rFonts w:ascii="Calibri" w:hAnsi="Calibri"/>
                <w:b/>
                <w:color w:val="E5484D"/>
                <w:sz w:val="22"/>
              </w:rPr>
              <w:t>-30.0%</w:t>
            </w:r>
          </w:p>
        </w:tc>
        <w:tc>
          <w:tcPr>
            <w:tcW w:type="dxa" w:w="1234"/>
          </w:tcPr>
          <w:p>
            <w:r>
              <w:rPr>
                <w:rFonts w:ascii="Calibri" w:hAnsi="Calibri"/>
                <w:sz w:val="22"/>
              </w:rPr>
              <w:t>FY 2026 midpoint $6.40; 4Q26 run-rate $1.40–$1.50</w:t>
            </w:r>
          </w:p>
        </w:tc>
        <w:tc>
          <w:tcPr>
            <w:tcW w:type="dxa" w:w="1234"/>
          </w:tcPr>
          <w:p>
            <w:r>
              <w:rPr>
                <w:rFonts w:ascii="Calibri" w:hAnsi="Calibri"/>
                <w:sz w:val="22"/>
              </w:rPr>
              <w:t>N/A — quarterly guidance not provided</w:t>
            </w:r>
          </w:p>
        </w:tc>
      </w:tr>
      <w:tr>
        <w:tc>
          <w:tcPr>
            <w:tcW w:type="dxa" w:w="1234"/>
          </w:tcPr>
          <w:p>
            <w:r>
              <w:rPr>
                <w:rFonts w:ascii="Calibri" w:hAnsi="Calibri"/>
                <w:sz w:val="22"/>
              </w:rPr>
              <w:t>Total Revenue incl. Tenant Reimbursements ($M)</w:t>
            </w:r>
          </w:p>
        </w:tc>
        <w:tc>
          <w:tcPr>
            <w:tcW w:type="dxa" w:w="1234"/>
          </w:tcPr>
          <w:p>
            <w:r>
              <w:rPr>
                <w:rFonts w:ascii="Calibri" w:hAnsi="Calibri"/>
                <w:sz w:val="22"/>
              </w:rPr>
              <w:t>$653.0M</w:t>
            </w:r>
          </w:p>
        </w:tc>
        <w:tc>
          <w:tcPr>
            <w:tcW w:type="dxa" w:w="1234"/>
          </w:tcPr>
          <w:p>
            <w:r>
              <w:rPr>
                <w:rFonts w:ascii="Calibri" w:hAnsi="Calibri"/>
                <w:sz w:val="22"/>
              </w:rPr>
              <w:t>$737.3M</w:t>
            </w:r>
          </w:p>
        </w:tc>
        <w:tc>
          <w:tcPr>
            <w:tcW w:type="dxa" w:w="1234"/>
          </w:tcPr>
          <w:p>
            <w:r>
              <w:rPr>
                <w:rFonts w:ascii="Calibri" w:hAnsi="Calibri"/>
                <w:sz w:val="22"/>
              </w:rPr>
              <w:t>$644.7M</w:t>
            </w:r>
          </w:p>
        </w:tc>
        <w:tc>
          <w:tcPr>
            <w:tcW w:type="dxa" w:w="1234"/>
          </w:tcPr>
          <w:p>
            <w:r>
              <w:rPr>
                <w:rFonts w:ascii="Calibri" w:hAnsi="Calibri"/>
                <w:b/>
                <w:color w:val="E5484D"/>
                <w:sz w:val="22"/>
              </w:rPr>
              <w:t>-12.6%</w:t>
            </w:r>
          </w:p>
        </w:tc>
        <w:tc>
          <w:tcPr>
            <w:tcW w:type="dxa" w:w="1234"/>
          </w:tcPr>
          <w:p>
            <w:r>
              <w:rPr>
                <w:rFonts w:ascii="Calibri" w:hAnsi="Calibri"/>
                <w:sz w:val="22"/>
              </w:rPr>
              <w:t>FY 2026 consensus ~$2.57B</w:t>
            </w:r>
          </w:p>
        </w:tc>
        <w:tc>
          <w:tcPr>
            <w:tcW w:type="dxa" w:w="1234"/>
          </w:tcPr>
          <w:p>
            <w:r>
              <w:rPr>
                <w:rFonts w:ascii="Calibri" w:hAnsi="Calibri"/>
                <w:sz w:val="22"/>
              </w:rPr>
              <w:t>N/A — quarterly revenue guidance not provided</w:t>
            </w:r>
          </w:p>
        </w:tc>
      </w:tr>
      <w:tr>
        <w:tc>
          <w:tcPr>
            <w:tcW w:type="dxa" w:w="1234"/>
          </w:tcPr>
          <w:p>
            <w:r>
              <w:rPr>
                <w:rFonts w:ascii="Calibri" w:hAnsi="Calibri"/>
                <w:sz w:val="22"/>
              </w:rPr>
              <w:t>Occupancy Rate (%)</w:t>
            </w:r>
          </w:p>
        </w:tc>
        <w:tc>
          <w:tcPr>
            <w:tcW w:type="dxa" w:w="1234"/>
          </w:tcPr>
          <w:p>
            <w:r>
              <w:rPr>
                <w:rFonts w:ascii="Calibri" w:hAnsi="Calibri"/>
                <w:sz w:val="22"/>
              </w:rPr>
              <w:t>87.7%</w:t>
            </w:r>
          </w:p>
        </w:tc>
        <w:tc>
          <w:tcPr>
            <w:tcW w:type="dxa" w:w="1234"/>
          </w:tcPr>
          <w:p>
            <w:r>
              <w:rPr>
                <w:rFonts w:ascii="Calibri" w:hAnsi="Calibri"/>
                <w:sz w:val="22"/>
              </w:rPr>
              <w:t>90.8%</w:t>
            </w:r>
          </w:p>
        </w:tc>
        <w:tc>
          <w:tcPr>
            <w:tcW w:type="dxa" w:w="1234"/>
          </w:tcPr>
          <w:p>
            <w:r>
              <w:rPr>
                <w:rFonts w:ascii="Calibri" w:hAnsi="Calibri"/>
                <w:sz w:val="22"/>
              </w:rPr>
              <w:t>86.6%</w:t>
            </w:r>
          </w:p>
        </w:tc>
        <w:tc>
          <w:tcPr>
            <w:tcW w:type="dxa" w:w="1234"/>
          </w:tcPr>
          <w:p>
            <w:r>
              <w:rPr>
                <w:rFonts w:ascii="Calibri" w:hAnsi="Calibri"/>
                <w:b/>
                <w:color w:val="E5484D"/>
                <w:sz w:val="22"/>
              </w:rPr>
              <w:t>-220 bps</w:t>
            </w:r>
          </w:p>
        </w:tc>
        <w:tc>
          <w:tcPr>
            <w:tcW w:type="dxa" w:w="1234"/>
          </w:tcPr>
          <w:p>
            <w:r>
              <w:rPr>
                <w:rFonts w:ascii="Calibri" w:hAnsi="Calibri"/>
                <w:sz w:val="22"/>
              </w:rPr>
              <w:t>Year-end 2026 guidance midpoint: 87.0%</w:t>
            </w:r>
          </w:p>
        </w:tc>
        <w:tc>
          <w:tcPr>
            <w:tcW w:type="dxa" w:w="1234"/>
          </w:tcPr>
          <w:p>
            <w:r>
              <w:rPr>
                <w:rFonts w:ascii="Calibri" w:hAnsi="Calibri"/>
                <w:sz w:val="22"/>
              </w:rPr>
              <w:t>~-40 bps below year-end guidance midpoint (Q2 expected trough)</w:t>
            </w:r>
          </w:p>
        </w:tc>
      </w:tr>
      <w:tr>
        <w:tc>
          <w:tcPr>
            <w:tcW w:type="dxa" w:w="1234"/>
          </w:tcPr>
          <w:p>
            <w:r>
              <w:rPr>
                <w:rFonts w:ascii="Calibri" w:hAnsi="Calibri"/>
                <w:sz w:val="22"/>
              </w:rPr>
              <w:t>Same-Store NOI Growth (%)</w:t>
            </w:r>
          </w:p>
        </w:tc>
        <w:tc>
          <w:tcPr>
            <w:tcW w:type="dxa" w:w="1234"/>
          </w:tcPr>
          <w:p>
            <w:r>
              <w:rPr>
                <w:rFonts w:ascii="Calibri" w:hAnsi="Calibri"/>
                <w:sz w:val="22"/>
              </w:rPr>
              <w:t>-11.9%</w:t>
            </w:r>
          </w:p>
        </w:tc>
        <w:tc>
          <w:tcPr>
            <w:tcW w:type="dxa" w:w="1234"/>
          </w:tcPr>
          <w:p>
            <w:r>
              <w:rPr>
                <w:rFonts w:ascii="Calibri" w:hAnsi="Calibri"/>
                <w:sz w:val="22"/>
              </w:rPr>
              <w:t>-5.4%</w:t>
            </w:r>
          </w:p>
        </w:tc>
        <w:tc>
          <w:tcPr>
            <w:tcW w:type="dxa" w:w="1234"/>
          </w:tcPr>
          <w:p>
            <w:r>
              <w:rPr>
                <w:rFonts w:ascii="Calibri" w:hAnsi="Calibri"/>
                <w:sz w:val="22"/>
              </w:rPr>
              <w:t>-10.9%</w:t>
            </w:r>
          </w:p>
        </w:tc>
        <w:tc>
          <w:tcPr>
            <w:tcW w:type="dxa" w:w="1234"/>
          </w:tcPr>
          <w:p>
            <w:r>
              <w:rPr>
                <w:rFonts w:ascii="Calibri" w:hAnsi="Calibri"/>
                <w:b/>
                <w:color w:val="E5484D"/>
                <w:sz w:val="22"/>
              </w:rPr>
              <w:t>Worsening YoY</w:t>
            </w:r>
          </w:p>
        </w:tc>
        <w:tc>
          <w:tcPr>
            <w:tcW w:type="dxa" w:w="1234"/>
          </w:tcPr>
          <w:p>
            <w:r>
              <w:rPr>
                <w:rFonts w:ascii="Calibri" w:hAnsi="Calibri"/>
                <w:sz w:val="22"/>
              </w:rPr>
              <w:t>FY 2026 guidance midpoint: -9.5%</w:t>
            </w:r>
          </w:p>
        </w:tc>
        <w:tc>
          <w:tcPr>
            <w:tcW w:type="dxa" w:w="1234"/>
          </w:tcPr>
          <w:p>
            <w:r>
              <w:rPr>
                <w:rFonts w:ascii="Calibri" w:hAnsi="Calibri"/>
                <w:sz w:val="22"/>
              </w:rPr>
              <w:t>~-140 bps vs. FY midpoint (1H weighted toward worse)</w:t>
            </w:r>
          </w:p>
        </w:tc>
      </w:tr>
      <w:tr>
        <w:tc>
          <w:tcPr>
            <w:tcW w:type="dxa" w:w="1234"/>
          </w:tcPr>
          <w:p>
            <w:r>
              <w:rPr>
                <w:rFonts w:ascii="Calibri" w:hAnsi="Calibri"/>
                <w:sz w:val="22"/>
              </w:rPr>
              <w:t>FFO per Share ($) (GAAP)</w:t>
            </w:r>
          </w:p>
        </w:tc>
        <w:tc>
          <w:tcPr>
            <w:tcW w:type="dxa" w:w="1234"/>
          </w:tcPr>
          <w:p>
            <w:r>
              <w:rPr>
                <w:rFonts w:ascii="Calibri" w:hAnsi="Calibri"/>
                <w:sz w:val="22"/>
              </w:rPr>
              <w:t>$3.73 (incl. one-time gain)</w:t>
            </w:r>
          </w:p>
        </w:tc>
        <w:tc>
          <w:tcPr>
            <w:tcW w:type="dxa" w:w="1234"/>
          </w:tcPr>
          <w:p>
            <w:r>
              <w:rPr>
                <w:rFonts w:ascii="Calibri" w:hAnsi="Calibri"/>
                <w:sz w:val="22"/>
              </w:rPr>
              <w:t>$1.93</w:t>
            </w:r>
          </w:p>
        </w:tc>
        <w:tc>
          <w:tcPr>
            <w:tcW w:type="dxa" w:w="1234"/>
          </w:tcPr>
          <w:p>
            <w:r>
              <w:rPr>
                <w:rFonts w:ascii="Calibri" w:hAnsi="Calibri"/>
                <w:sz w:val="22"/>
              </w:rPr>
              <w:t>$1.98</w:t>
            </w:r>
          </w:p>
        </w:tc>
        <w:tc>
          <w:tcPr>
            <w:tcW w:type="dxa" w:w="1234"/>
          </w:tcPr>
          <w:p>
            <w:r>
              <w:rPr>
                <w:rFonts w:ascii="Calibri" w:hAnsi="Calibri"/>
                <w:sz w:val="22"/>
              </w:rPr>
              <w:t>+2.6% (distorted by one-time items)</w:t>
            </w:r>
          </w:p>
        </w:tc>
        <w:tc>
          <w:tcPr>
            <w:tcW w:type="dxa" w:w="1234"/>
          </w:tcPr>
          <w:p>
            <w:r>
              <w:rPr>
                <w:rFonts w:ascii="Calibri" w:hAnsi="Calibri"/>
                <w:sz w:val="22"/>
              </w:rPr>
              <w:t>N/A — not primary guidance metric</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latest available (August 2, 2026). Q1 2026 actual Core FFO of $1.73 met consensus of $1.73; Q1 2026 revenue of $653.0M missed consensus of $688.0M. Year-end 2026 occupancy guidance midpoint lowered from 88.5% to 87.0% on the Q1 2026 earnings call (April 28, 2026). Same-store NOI FY 2026 guidance midpoint lowered from -8.5% to -9.5% on the Q1 2026 earnings call.</w:t>
      </w:r>
    </w:p>
    <w:p>
      <w:pPr>
        <w:pStyle w:val="Heading3"/>
      </w:pPr>
      <w:r>
        <w:rPr>
          <w:rFonts w:ascii="Calibri" w:hAnsi="Calibri"/>
          <w:b/>
          <w:color w:val="3B4259"/>
          <w:sz w:val="24"/>
        </w:rPr>
        <w:t>Table 2 — Beat/Miss History (Last 8 Quarters, Core FFO per Share &amp; Occupancy Rate)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Core FFO Reported</w:t>
            </w:r>
          </w:p>
        </w:tc>
        <w:tc>
          <w:tcPr>
            <w:tcW w:type="dxa" w:w="960"/>
            <w:shd w:val="clear" w:color="auto" w:fill="3B4259"/>
          </w:tcPr>
          <w:p>
            <w:r>
              <w:rPr>
                <w:rFonts w:ascii="Calibri" w:hAnsi="Calibri"/>
                <w:b/>
                <w:color w:val="FFFFFF"/>
                <w:sz w:val="22"/>
              </w:rPr>
              <w:t>Core FFO Consensus</w:t>
            </w:r>
          </w:p>
        </w:tc>
        <w:tc>
          <w:tcPr>
            <w:tcW w:type="dxa" w:w="960"/>
            <w:shd w:val="clear" w:color="auto" w:fill="3B4259"/>
          </w:tcPr>
          <w:p>
            <w:r>
              <w:rPr>
                <w:rFonts w:ascii="Calibri" w:hAnsi="Calibri"/>
                <w:b/>
                <w:color w:val="FFFFFF"/>
                <w:sz w:val="22"/>
              </w:rPr>
              <w:t>Core FFO Surprise %</w:t>
            </w:r>
          </w:p>
        </w:tc>
        <w:tc>
          <w:tcPr>
            <w:tcW w:type="dxa" w:w="960"/>
            <w:shd w:val="clear" w:color="auto" w:fill="3B4259"/>
          </w:tcPr>
          <w:p>
            <w:r>
              <w:rPr>
                <w:rFonts w:ascii="Calibri" w:hAnsi="Calibri"/>
                <w:b/>
                <w:color w:val="FFFFFF"/>
                <w:sz w:val="22"/>
              </w:rPr>
              <w:t>Core FFO Result</w:t>
            </w:r>
          </w:p>
        </w:tc>
        <w:tc>
          <w:tcPr>
            <w:tcW w:type="dxa" w:w="960"/>
            <w:shd w:val="clear" w:color="auto" w:fill="3B4259"/>
          </w:tcPr>
          <w:p>
            <w:r>
              <w:rPr>
                <w:rFonts w:ascii="Calibri" w:hAnsi="Calibri"/>
                <w:b/>
                <w:color w:val="FFFFFF"/>
                <w:sz w:val="22"/>
              </w:rPr>
              <w:t>Occupancy Reported</w:t>
            </w:r>
          </w:p>
        </w:tc>
        <w:tc>
          <w:tcPr>
            <w:tcW w:type="dxa" w:w="960"/>
            <w:shd w:val="clear" w:color="auto" w:fill="3B4259"/>
          </w:tcPr>
          <w:p>
            <w:r>
              <w:rPr>
                <w:rFonts w:ascii="Calibri" w:hAnsi="Calibri"/>
                <w:b/>
                <w:color w:val="FFFFFF"/>
                <w:sz w:val="22"/>
              </w:rPr>
              <w:t>Occupancy Consensus</w:t>
            </w:r>
          </w:p>
        </w:tc>
        <w:tc>
          <w:tcPr>
            <w:tcW w:type="dxa" w:w="960"/>
            <w:shd w:val="clear" w:color="auto" w:fill="3B4259"/>
          </w:tcPr>
          <w:p>
            <w:r>
              <w:rPr>
                <w:rFonts w:ascii="Calibri" w:hAnsi="Calibri"/>
                <w:b/>
                <w:color w:val="FFFFFF"/>
                <w:sz w:val="22"/>
              </w:rPr>
              <w:t>Occupancy Surprise</w:t>
            </w:r>
          </w:p>
        </w:tc>
        <w:tc>
          <w:tcPr>
            <w:tcW w:type="dxa" w:w="960"/>
            <w:shd w:val="clear" w:color="auto" w:fill="3B4259"/>
          </w:tcPr>
          <w:p>
            <w:r>
              <w:rPr>
                <w:rFonts w:ascii="Calibri" w:hAnsi="Calibri"/>
                <w:b/>
                <w:color w:val="FFFFFF"/>
                <w:sz w:val="22"/>
              </w:rPr>
              <w:t>Occupancy Result</w:t>
            </w:r>
          </w:p>
        </w:tc>
      </w:tr>
      <w:tr>
        <w:tc>
          <w:tcPr>
            <w:tcW w:type="dxa" w:w="960"/>
          </w:tcPr>
          <w:p>
            <w:r>
              <w:rPr>
                <w:rFonts w:ascii="Calibri" w:hAnsi="Calibri"/>
                <w:sz w:val="22"/>
              </w:rPr>
              <w:t>Q1 2026</w:t>
            </w:r>
          </w:p>
        </w:tc>
        <w:tc>
          <w:tcPr>
            <w:tcW w:type="dxa" w:w="960"/>
          </w:tcPr>
          <w:p>
            <w:r>
              <w:rPr>
                <w:rFonts w:ascii="Calibri" w:hAnsi="Calibri"/>
                <w:sz w:val="22"/>
              </w:rPr>
              <w:t>$1.73</w:t>
            </w:r>
          </w:p>
        </w:tc>
        <w:tc>
          <w:tcPr>
            <w:tcW w:type="dxa" w:w="960"/>
          </w:tcPr>
          <w:p>
            <w:r>
              <w:rPr>
                <w:rFonts w:ascii="Calibri" w:hAnsi="Calibri"/>
                <w:sz w:val="22"/>
              </w:rPr>
              <w:t>$1.73</w:t>
            </w:r>
          </w:p>
        </w:tc>
        <w:tc>
          <w:tcPr>
            <w:tcW w:type="dxa" w:w="960"/>
          </w:tcPr>
          <w:p>
            <w:r>
              <w:rPr>
                <w:rFonts w:ascii="Calibri" w:hAnsi="Calibri"/>
                <w:sz w:val="22"/>
              </w:rPr>
              <w:t>0.0%</w:t>
            </w:r>
          </w:p>
        </w:tc>
        <w:tc>
          <w:tcPr>
            <w:tcW w:type="dxa" w:w="960"/>
          </w:tcPr>
          <w:p>
            <w:r>
              <w:rPr>
                <w:rFonts w:ascii="Calibri" w:hAnsi="Calibri"/>
                <w:sz w:val="22"/>
              </w:rPr>
              <w:t>In Line</w:t>
            </w:r>
          </w:p>
        </w:tc>
        <w:tc>
          <w:tcPr>
            <w:tcW w:type="dxa" w:w="960"/>
          </w:tcPr>
          <w:p>
            <w:r>
              <w:rPr>
                <w:rFonts w:ascii="Calibri" w:hAnsi="Calibri"/>
                <w:sz w:val="22"/>
              </w:rPr>
              <w:t>87.7%</w:t>
            </w:r>
          </w:p>
        </w:tc>
        <w:tc>
          <w:tcPr>
            <w:tcW w:type="dxa" w:w="960"/>
          </w:tcPr>
          <w:p>
            <w:r>
              <w:rPr>
                <w:rFonts w:ascii="Calibri" w:hAnsi="Calibri"/>
                <w:sz w:val="22"/>
              </w:rPr>
              <w:t>88.5%</w:t>
            </w:r>
          </w:p>
        </w:tc>
        <w:tc>
          <w:tcPr>
            <w:tcW w:type="dxa" w:w="960"/>
          </w:tcPr>
          <w:p>
            <w:r>
              <w:rPr>
                <w:rFonts w:ascii="Calibri" w:hAnsi="Calibri"/>
                <w:b/>
                <w:color w:val="E5484D"/>
                <w:sz w:val="22"/>
              </w:rPr>
              <w:t>-80 bps</w:t>
            </w:r>
          </w:p>
        </w:tc>
        <w:tc>
          <w:tcPr>
            <w:tcW w:type="dxa" w:w="960"/>
          </w:tcPr>
          <w:p>
            <w:r>
              <w:rPr>
                <w:rFonts w:ascii="Calibri" w:hAnsi="Calibri"/>
                <w:sz w:val="22"/>
              </w:rPr>
              <w:t>Miss</w:t>
            </w:r>
          </w:p>
        </w:tc>
      </w:tr>
      <w:tr>
        <w:tc>
          <w:tcPr>
            <w:tcW w:type="dxa" w:w="960"/>
          </w:tcPr>
          <w:p>
            <w:r>
              <w:rPr>
                <w:rFonts w:ascii="Calibri" w:hAnsi="Calibri"/>
                <w:sz w:val="22"/>
              </w:rPr>
              <w:t>Q4 2025</w:t>
            </w:r>
          </w:p>
        </w:tc>
        <w:tc>
          <w:tcPr>
            <w:tcW w:type="dxa" w:w="960"/>
          </w:tcPr>
          <w:p>
            <w:r>
              <w:rPr>
                <w:rFonts w:ascii="Calibri" w:hAnsi="Calibri"/>
                <w:sz w:val="22"/>
              </w:rPr>
              <w:t>$2.16</w:t>
            </w:r>
          </w:p>
        </w:tc>
        <w:tc>
          <w:tcPr>
            <w:tcW w:type="dxa" w:w="960"/>
          </w:tcPr>
          <w:p>
            <w:r>
              <w:rPr>
                <w:rFonts w:ascii="Calibri" w:hAnsi="Calibri"/>
                <w:sz w:val="22"/>
              </w:rPr>
              <w:t>$2.14</w:t>
            </w:r>
          </w:p>
        </w:tc>
        <w:tc>
          <w:tcPr>
            <w:tcW w:type="dxa" w:w="960"/>
          </w:tcPr>
          <w:p>
            <w:r>
              <w:rPr>
                <w:rFonts w:ascii="Calibri" w:hAnsi="Calibri"/>
                <w:sz w:val="22"/>
              </w:rPr>
              <w:t>+0.9%</w:t>
            </w:r>
          </w:p>
        </w:tc>
        <w:tc>
          <w:tcPr>
            <w:tcW w:type="dxa" w:w="960"/>
          </w:tcPr>
          <w:p>
            <w:r>
              <w:rPr>
                <w:rFonts w:ascii="Calibri" w:hAnsi="Calibri"/>
                <w:b/>
                <w:color w:val="30A46C"/>
                <w:sz w:val="22"/>
              </w:rPr>
              <w:t>Beat</w:t>
            </w:r>
          </w:p>
        </w:tc>
        <w:tc>
          <w:tcPr>
            <w:tcW w:type="dxa" w:w="960"/>
          </w:tcPr>
          <w:p>
            <w:r>
              <w:rPr>
                <w:rFonts w:ascii="Calibri" w:hAnsi="Calibri"/>
                <w:sz w:val="22"/>
              </w:rPr>
              <w:t>90.9%</w:t>
            </w:r>
          </w:p>
        </w:tc>
        <w:tc>
          <w:tcPr>
            <w:tcW w:type="dxa" w:w="960"/>
          </w:tcPr>
          <w:p>
            <w:r>
              <w:rPr>
                <w:rFonts w:ascii="Calibri" w:hAnsi="Calibri"/>
                <w:sz w:val="22"/>
              </w:rPr>
              <w:t>90.3%</w:t>
            </w:r>
          </w:p>
        </w:tc>
        <w:tc>
          <w:tcPr>
            <w:tcW w:type="dxa" w:w="960"/>
          </w:tcPr>
          <w:p>
            <w:r>
              <w:rPr>
                <w:rFonts w:ascii="Calibri" w:hAnsi="Calibri"/>
                <w:b/>
                <w:color w:val="30A46C"/>
                <w:sz w:val="22"/>
              </w:rPr>
              <w:t>+60 bps</w:t>
            </w:r>
          </w:p>
        </w:tc>
        <w:tc>
          <w:tcPr>
            <w:tcW w:type="dxa" w:w="960"/>
          </w:tcPr>
          <w:p>
            <w:r>
              <w:rPr>
                <w:rFonts w:ascii="Calibri" w:hAnsi="Calibri"/>
                <w:sz w:val="22"/>
              </w:rPr>
              <w:t>Beat</w:t>
            </w:r>
          </w:p>
        </w:tc>
      </w:tr>
      <w:tr>
        <w:tc>
          <w:tcPr>
            <w:tcW w:type="dxa" w:w="960"/>
          </w:tcPr>
          <w:p>
            <w:r>
              <w:rPr>
                <w:rFonts w:ascii="Calibri" w:hAnsi="Calibri"/>
                <w:sz w:val="22"/>
              </w:rPr>
              <w:t>Q3 2025</w:t>
            </w:r>
          </w:p>
        </w:tc>
        <w:tc>
          <w:tcPr>
            <w:tcW w:type="dxa" w:w="960"/>
          </w:tcPr>
          <w:p>
            <w:r>
              <w:rPr>
                <w:rFonts w:ascii="Calibri" w:hAnsi="Calibri"/>
                <w:sz w:val="22"/>
              </w:rPr>
              <w:t>$2.22</w:t>
            </w:r>
          </w:p>
        </w:tc>
        <w:tc>
          <w:tcPr>
            <w:tcW w:type="dxa" w:w="960"/>
          </w:tcPr>
          <w:p>
            <w:r>
              <w:rPr>
                <w:rFonts w:ascii="Calibri" w:hAnsi="Calibri"/>
                <w:sz w:val="22"/>
              </w:rPr>
              <w:t>$2.31</w:t>
            </w:r>
          </w:p>
        </w:tc>
        <w:tc>
          <w:tcPr>
            <w:tcW w:type="dxa" w:w="960"/>
          </w:tcPr>
          <w:p>
            <w:r>
              <w:rPr>
                <w:rFonts w:ascii="Calibri" w:hAnsi="Calibri"/>
                <w:sz w:val="22"/>
              </w:rPr>
              <w:t>-3.9%</w:t>
            </w:r>
          </w:p>
        </w:tc>
        <w:tc>
          <w:tcPr>
            <w:tcW w:type="dxa" w:w="960"/>
          </w:tcPr>
          <w:p>
            <w:r>
              <w:rPr>
                <w:rFonts w:ascii="Calibri" w:hAnsi="Calibri"/>
                <w:b/>
                <w:color w:val="E5484D"/>
                <w:sz w:val="22"/>
              </w:rPr>
              <w:t>Miss</w:t>
            </w:r>
          </w:p>
        </w:tc>
        <w:tc>
          <w:tcPr>
            <w:tcW w:type="dxa" w:w="960"/>
          </w:tcPr>
          <w:p>
            <w:r>
              <w:rPr>
                <w:rFonts w:ascii="Calibri" w:hAnsi="Calibri"/>
                <w:sz w:val="22"/>
              </w:rPr>
              <w:t>90.6%</w:t>
            </w:r>
          </w:p>
        </w:tc>
        <w:tc>
          <w:tcPr>
            <w:tcW w:type="dxa" w:w="960"/>
          </w:tcPr>
          <w:p>
            <w:r>
              <w:rPr>
                <w:rFonts w:ascii="Calibri" w:hAnsi="Calibri"/>
                <w:sz w:val="22"/>
              </w:rPr>
              <w:t>90.6%</w:t>
            </w:r>
          </w:p>
        </w:tc>
        <w:tc>
          <w:tcPr>
            <w:tcW w:type="dxa" w:w="960"/>
          </w:tcPr>
          <w:p>
            <w:r>
              <w:rPr>
                <w:rFonts w:ascii="Calibri" w:hAnsi="Calibri"/>
                <w:sz w:val="22"/>
              </w:rPr>
              <w:t>0 bps</w:t>
            </w:r>
          </w:p>
        </w:tc>
        <w:tc>
          <w:tcPr>
            <w:tcW w:type="dxa" w:w="960"/>
          </w:tcPr>
          <w:p>
            <w:r>
              <w:rPr>
                <w:rFonts w:ascii="Calibri" w:hAnsi="Calibri"/>
                <w:sz w:val="22"/>
              </w:rPr>
              <w:t>In Line</w:t>
            </w:r>
          </w:p>
        </w:tc>
      </w:tr>
      <w:tr>
        <w:tc>
          <w:tcPr>
            <w:tcW w:type="dxa" w:w="960"/>
          </w:tcPr>
          <w:p>
            <w:r>
              <w:rPr>
                <w:rFonts w:ascii="Calibri" w:hAnsi="Calibri"/>
                <w:sz w:val="22"/>
              </w:rPr>
              <w:t>Q2 2025</w:t>
            </w:r>
          </w:p>
        </w:tc>
        <w:tc>
          <w:tcPr>
            <w:tcW w:type="dxa" w:w="960"/>
          </w:tcPr>
          <w:p>
            <w:r>
              <w:rPr>
                <w:rFonts w:ascii="Calibri" w:hAnsi="Calibri"/>
                <w:sz w:val="22"/>
              </w:rPr>
              <w:t>$2.33</w:t>
            </w:r>
          </w:p>
        </w:tc>
        <w:tc>
          <w:tcPr>
            <w:tcW w:type="dxa" w:w="960"/>
          </w:tcPr>
          <w:p>
            <w:r>
              <w:rPr>
                <w:rFonts w:ascii="Calibri" w:hAnsi="Calibri"/>
                <w:sz w:val="22"/>
              </w:rPr>
              <w:t>$2.28</w:t>
            </w:r>
          </w:p>
        </w:tc>
        <w:tc>
          <w:tcPr>
            <w:tcW w:type="dxa" w:w="960"/>
          </w:tcPr>
          <w:p>
            <w:r>
              <w:rPr>
                <w:rFonts w:ascii="Calibri" w:hAnsi="Calibri"/>
                <w:sz w:val="22"/>
              </w:rPr>
              <w:t>+2.2%</w:t>
            </w:r>
          </w:p>
        </w:tc>
        <w:tc>
          <w:tcPr>
            <w:tcW w:type="dxa" w:w="960"/>
          </w:tcPr>
          <w:p>
            <w:r>
              <w:rPr>
                <w:rFonts w:ascii="Calibri" w:hAnsi="Calibri"/>
                <w:b/>
                <w:color w:val="30A46C"/>
                <w:sz w:val="22"/>
              </w:rPr>
              <w:t>Beat</w:t>
            </w:r>
          </w:p>
        </w:tc>
        <w:tc>
          <w:tcPr>
            <w:tcW w:type="dxa" w:w="960"/>
          </w:tcPr>
          <w:p>
            <w:r>
              <w:rPr>
                <w:rFonts w:ascii="Calibri" w:hAnsi="Calibri"/>
                <w:sz w:val="22"/>
              </w:rPr>
              <w:t>90.8%</w:t>
            </w:r>
          </w:p>
        </w:tc>
        <w:tc>
          <w:tcPr>
            <w:tcW w:type="dxa" w:w="960"/>
          </w:tcPr>
          <w:p>
            <w:r>
              <w:rPr>
                <w:rFonts w:ascii="Calibri" w:hAnsi="Calibri"/>
                <w:sz w:val="22"/>
              </w:rPr>
              <w:t>90.9%</w:t>
            </w:r>
          </w:p>
        </w:tc>
        <w:tc>
          <w:tcPr>
            <w:tcW w:type="dxa" w:w="960"/>
          </w:tcPr>
          <w:p>
            <w:r>
              <w:rPr>
                <w:rFonts w:ascii="Calibri" w:hAnsi="Calibri"/>
                <w:sz w:val="22"/>
              </w:rPr>
              <w:t>-10 bps</w:t>
            </w:r>
          </w:p>
        </w:tc>
        <w:tc>
          <w:tcPr>
            <w:tcW w:type="dxa" w:w="960"/>
          </w:tcPr>
          <w:p>
            <w:r>
              <w:rPr>
                <w:rFonts w:ascii="Calibri" w:hAnsi="Calibri"/>
                <w:sz w:val="22"/>
              </w:rPr>
              <w:t>In Line</w:t>
            </w:r>
          </w:p>
        </w:tc>
      </w:tr>
      <w:tr>
        <w:tc>
          <w:tcPr>
            <w:tcW w:type="dxa" w:w="960"/>
          </w:tcPr>
          <w:p>
            <w:r>
              <w:rPr>
                <w:rFonts w:ascii="Calibri" w:hAnsi="Calibri"/>
                <w:sz w:val="22"/>
              </w:rPr>
              <w:t>Q1 2025</w:t>
            </w:r>
          </w:p>
        </w:tc>
        <w:tc>
          <w:tcPr>
            <w:tcW w:type="dxa" w:w="960"/>
          </w:tcPr>
          <w:p>
            <w:r>
              <w:rPr>
                <w:rFonts w:ascii="Calibri" w:hAnsi="Calibri"/>
                <w:sz w:val="22"/>
              </w:rPr>
              <w:t>$2.30</w:t>
            </w:r>
          </w:p>
        </w:tc>
        <w:tc>
          <w:tcPr>
            <w:tcW w:type="dxa" w:w="960"/>
          </w:tcPr>
          <w:p>
            <w:r>
              <w:rPr>
                <w:rFonts w:ascii="Calibri" w:hAnsi="Calibri"/>
                <w:sz w:val="22"/>
              </w:rPr>
              <w:t>$2.27</w:t>
            </w:r>
          </w:p>
        </w:tc>
        <w:tc>
          <w:tcPr>
            <w:tcW w:type="dxa" w:w="960"/>
          </w:tcPr>
          <w:p>
            <w:r>
              <w:rPr>
                <w:rFonts w:ascii="Calibri" w:hAnsi="Calibri"/>
                <w:sz w:val="22"/>
              </w:rPr>
              <w:t>+1.3%</w:t>
            </w:r>
          </w:p>
        </w:tc>
        <w:tc>
          <w:tcPr>
            <w:tcW w:type="dxa" w:w="960"/>
          </w:tcPr>
          <w:p>
            <w:r>
              <w:rPr>
                <w:rFonts w:ascii="Calibri" w:hAnsi="Calibri"/>
                <w:b/>
                <w:color w:val="30A46C"/>
                <w:sz w:val="22"/>
              </w:rPr>
              <w:t>Beat</w:t>
            </w:r>
          </w:p>
        </w:tc>
        <w:tc>
          <w:tcPr>
            <w:tcW w:type="dxa" w:w="960"/>
          </w:tcPr>
          <w:p>
            <w:r>
              <w:rPr>
                <w:rFonts w:ascii="Calibri" w:hAnsi="Calibri"/>
                <w:sz w:val="22"/>
              </w:rPr>
              <w:t>91.7%</w:t>
            </w:r>
          </w:p>
        </w:tc>
        <w:tc>
          <w:tcPr>
            <w:tcW w:type="dxa" w:w="960"/>
          </w:tcPr>
          <w:p>
            <w:r>
              <w:rPr>
                <w:rFonts w:ascii="Calibri" w:hAnsi="Calibri"/>
                <w:sz w:val="22"/>
              </w:rPr>
              <w:t>92.8%</w:t>
            </w:r>
          </w:p>
        </w:tc>
        <w:tc>
          <w:tcPr>
            <w:tcW w:type="dxa" w:w="960"/>
          </w:tcPr>
          <w:p>
            <w:r>
              <w:rPr>
                <w:rFonts w:ascii="Calibri" w:hAnsi="Calibri"/>
                <w:b/>
                <w:color w:val="E5484D"/>
                <w:sz w:val="22"/>
              </w:rPr>
              <w:t>-110 bps</w:t>
            </w:r>
          </w:p>
        </w:tc>
        <w:tc>
          <w:tcPr>
            <w:tcW w:type="dxa" w:w="960"/>
          </w:tcPr>
          <w:p>
            <w:r>
              <w:rPr>
                <w:rFonts w:ascii="Calibri" w:hAnsi="Calibri"/>
                <w:sz w:val="22"/>
              </w:rPr>
              <w:t>Miss</w:t>
            </w:r>
          </w:p>
        </w:tc>
      </w:tr>
      <w:tr>
        <w:tc>
          <w:tcPr>
            <w:tcW w:type="dxa" w:w="960"/>
          </w:tcPr>
          <w:p>
            <w:r>
              <w:rPr>
                <w:rFonts w:ascii="Calibri" w:hAnsi="Calibri"/>
                <w:sz w:val="22"/>
              </w:rPr>
              <w:t>Q4 2024</w:t>
            </w:r>
          </w:p>
        </w:tc>
        <w:tc>
          <w:tcPr>
            <w:tcW w:type="dxa" w:w="960"/>
          </w:tcPr>
          <w:p>
            <w:r>
              <w:rPr>
                <w:rFonts w:ascii="Calibri" w:hAnsi="Calibri"/>
                <w:sz w:val="22"/>
              </w:rPr>
              <w:t>$2.39</w:t>
            </w:r>
          </w:p>
        </w:tc>
        <w:tc>
          <w:tcPr>
            <w:tcW w:type="dxa" w:w="960"/>
          </w:tcPr>
          <w:p>
            <w:r>
              <w:rPr>
                <w:rFonts w:ascii="Calibri" w:hAnsi="Calibri"/>
                <w:sz w:val="22"/>
              </w:rPr>
              <w:t>$2.39</w:t>
            </w:r>
          </w:p>
        </w:tc>
        <w:tc>
          <w:tcPr>
            <w:tcW w:type="dxa" w:w="960"/>
          </w:tcPr>
          <w:p>
            <w:r>
              <w:rPr>
                <w:rFonts w:ascii="Calibri" w:hAnsi="Calibri"/>
                <w:sz w:val="22"/>
              </w:rPr>
              <w:t>0.0%</w:t>
            </w:r>
          </w:p>
        </w:tc>
        <w:tc>
          <w:tcPr>
            <w:tcW w:type="dxa" w:w="960"/>
          </w:tcPr>
          <w:p>
            <w:r>
              <w:rPr>
                <w:rFonts w:ascii="Calibri" w:hAnsi="Calibri"/>
                <w:sz w:val="22"/>
              </w:rPr>
              <w:t>In Line</w:t>
            </w:r>
          </w:p>
        </w:tc>
        <w:tc>
          <w:tcPr>
            <w:tcW w:type="dxa" w:w="960"/>
          </w:tcPr>
          <w:p>
            <w:r>
              <w:rPr>
                <w:rFonts w:ascii="Calibri" w:hAnsi="Calibri"/>
                <w:sz w:val="22"/>
              </w:rPr>
              <w:t>94.6%</w:t>
            </w:r>
          </w:p>
        </w:tc>
        <w:tc>
          <w:tcPr>
            <w:tcW w:type="dxa" w:w="960"/>
          </w:tcPr>
          <w:p>
            <w:r>
              <w:rPr>
                <w:rFonts w:ascii="Calibri" w:hAnsi="Calibri"/>
                <w:sz w:val="22"/>
              </w:rPr>
              <w:t>94.4%</w:t>
            </w:r>
          </w:p>
        </w:tc>
        <w:tc>
          <w:tcPr>
            <w:tcW w:type="dxa" w:w="960"/>
          </w:tcPr>
          <w:p>
            <w:r>
              <w:rPr>
                <w:rFonts w:ascii="Calibri" w:hAnsi="Calibri"/>
                <w:b/>
                <w:color w:val="30A46C"/>
                <w:sz w:val="22"/>
              </w:rPr>
              <w:t>+20 bps</w:t>
            </w:r>
          </w:p>
        </w:tc>
        <w:tc>
          <w:tcPr>
            <w:tcW w:type="dxa" w:w="960"/>
          </w:tcPr>
          <w:p>
            <w:r>
              <w:rPr>
                <w:rFonts w:ascii="Calibri" w:hAnsi="Calibri"/>
                <w:sz w:val="22"/>
              </w:rPr>
              <w:t>Beat</w:t>
            </w:r>
          </w:p>
        </w:tc>
      </w:tr>
      <w:tr>
        <w:tc>
          <w:tcPr>
            <w:tcW w:type="dxa" w:w="960"/>
          </w:tcPr>
          <w:p>
            <w:r>
              <w:rPr>
                <w:rFonts w:ascii="Calibri" w:hAnsi="Calibri"/>
                <w:sz w:val="22"/>
              </w:rPr>
              <w:t>Q3 2024</w:t>
            </w:r>
          </w:p>
        </w:tc>
        <w:tc>
          <w:tcPr>
            <w:tcW w:type="dxa" w:w="960"/>
          </w:tcPr>
          <w:p>
            <w:r>
              <w:rPr>
                <w:rFonts w:ascii="Calibri" w:hAnsi="Calibri"/>
                <w:sz w:val="22"/>
              </w:rPr>
              <w:t>$2.37</w:t>
            </w:r>
          </w:p>
        </w:tc>
        <w:tc>
          <w:tcPr>
            <w:tcW w:type="dxa" w:w="960"/>
          </w:tcPr>
          <w:p>
            <w:r>
              <w:rPr>
                <w:rFonts w:ascii="Calibri" w:hAnsi="Calibri"/>
                <w:sz w:val="22"/>
              </w:rPr>
              <w:t>$2.37</w:t>
            </w:r>
          </w:p>
        </w:tc>
        <w:tc>
          <w:tcPr>
            <w:tcW w:type="dxa" w:w="960"/>
          </w:tcPr>
          <w:p>
            <w:r>
              <w:rPr>
                <w:rFonts w:ascii="Calibri" w:hAnsi="Calibri"/>
                <w:sz w:val="22"/>
              </w:rPr>
              <w:t>0.0%</w:t>
            </w:r>
          </w:p>
        </w:tc>
        <w:tc>
          <w:tcPr>
            <w:tcW w:type="dxa" w:w="960"/>
          </w:tcPr>
          <w:p>
            <w:r>
              <w:rPr>
                <w:rFonts w:ascii="Calibri" w:hAnsi="Calibri"/>
                <w:sz w:val="22"/>
              </w:rPr>
              <w:t>In Line</w:t>
            </w:r>
          </w:p>
        </w:tc>
        <w:tc>
          <w:tcPr>
            <w:tcW w:type="dxa" w:w="960"/>
          </w:tcPr>
          <w:p>
            <w:r>
              <w:rPr>
                <w:rFonts w:ascii="Calibri" w:hAnsi="Calibri"/>
                <w:sz w:val="22"/>
              </w:rPr>
              <w:t>94.7%</w:t>
            </w:r>
          </w:p>
        </w:tc>
        <w:tc>
          <w:tcPr>
            <w:tcW w:type="dxa" w:w="960"/>
          </w:tcPr>
          <w:p>
            <w:r>
              <w:rPr>
                <w:rFonts w:ascii="Calibri" w:hAnsi="Calibri"/>
                <w:sz w:val="22"/>
              </w:rPr>
              <w:t>94.7%</w:t>
            </w:r>
          </w:p>
        </w:tc>
        <w:tc>
          <w:tcPr>
            <w:tcW w:type="dxa" w:w="960"/>
          </w:tcPr>
          <w:p>
            <w:r>
              <w:rPr>
                <w:rFonts w:ascii="Calibri" w:hAnsi="Calibri"/>
                <w:sz w:val="22"/>
              </w:rPr>
              <w:t>0 bps</w:t>
            </w:r>
          </w:p>
        </w:tc>
        <w:tc>
          <w:tcPr>
            <w:tcW w:type="dxa" w:w="960"/>
          </w:tcPr>
          <w:p>
            <w:r>
              <w:rPr>
                <w:rFonts w:ascii="Calibri" w:hAnsi="Calibri"/>
                <w:sz w:val="22"/>
              </w:rPr>
              <w:t>In Line</w:t>
            </w:r>
          </w:p>
        </w:tc>
      </w:tr>
      <w:tr>
        <w:tc>
          <w:tcPr>
            <w:tcW w:type="dxa" w:w="960"/>
          </w:tcPr>
          <w:p>
            <w:r>
              <w:rPr>
                <w:rFonts w:ascii="Calibri" w:hAnsi="Calibri"/>
                <w:sz w:val="22"/>
              </w:rPr>
              <w:t>Q2 2024</w:t>
            </w:r>
          </w:p>
        </w:tc>
        <w:tc>
          <w:tcPr>
            <w:tcW w:type="dxa" w:w="960"/>
          </w:tcPr>
          <w:p>
            <w:r>
              <w:rPr>
                <w:rFonts w:ascii="Calibri" w:hAnsi="Calibri"/>
                <w:sz w:val="22"/>
              </w:rPr>
              <w:t>$2.36</w:t>
            </w:r>
          </w:p>
        </w:tc>
        <w:tc>
          <w:tcPr>
            <w:tcW w:type="dxa" w:w="960"/>
          </w:tcPr>
          <w:p>
            <w:r>
              <w:rPr>
                <w:rFonts w:ascii="Calibri" w:hAnsi="Calibri"/>
                <w:sz w:val="22"/>
              </w:rPr>
              <w:t>$2.34</w:t>
            </w:r>
          </w:p>
        </w:tc>
        <w:tc>
          <w:tcPr>
            <w:tcW w:type="dxa" w:w="960"/>
          </w:tcPr>
          <w:p>
            <w:r>
              <w:rPr>
                <w:rFonts w:ascii="Calibri" w:hAnsi="Calibri"/>
                <w:sz w:val="22"/>
              </w:rPr>
              <w:t>+0.9%</w:t>
            </w:r>
          </w:p>
        </w:tc>
        <w:tc>
          <w:tcPr>
            <w:tcW w:type="dxa" w:w="960"/>
          </w:tcPr>
          <w:p>
            <w:r>
              <w:rPr>
                <w:rFonts w:ascii="Calibri" w:hAnsi="Calibri"/>
                <w:b/>
                <w:color w:val="30A46C"/>
                <w:sz w:val="22"/>
              </w:rPr>
              <w:t>Beat</w:t>
            </w:r>
          </w:p>
        </w:tc>
        <w:tc>
          <w:tcPr>
            <w:tcW w:type="dxa" w:w="960"/>
          </w:tcPr>
          <w:p>
            <w:r>
              <w:rPr>
                <w:rFonts w:ascii="Calibri" w:hAnsi="Calibri"/>
                <w:sz w:val="22"/>
              </w:rPr>
              <w:t>94.6%</w:t>
            </w:r>
          </w:p>
        </w:tc>
        <w:tc>
          <w:tcPr>
            <w:tcW w:type="dxa" w:w="960"/>
          </w:tcPr>
          <w:p>
            <w:r>
              <w:rPr>
                <w:rFonts w:ascii="Calibri" w:hAnsi="Calibri"/>
                <w:sz w:val="22"/>
              </w:rPr>
              <w:t>94.4%</w:t>
            </w:r>
          </w:p>
        </w:tc>
        <w:tc>
          <w:tcPr>
            <w:tcW w:type="dxa" w:w="960"/>
          </w:tcPr>
          <w:p>
            <w:r>
              <w:rPr>
                <w:rFonts w:ascii="Calibri" w:hAnsi="Calibri"/>
                <w:b/>
                <w:color w:val="30A46C"/>
                <w:sz w:val="22"/>
              </w:rPr>
              <w:t>+20 bps</w:t>
            </w:r>
          </w:p>
        </w:tc>
        <w:tc>
          <w:tcPr>
            <w:tcW w:type="dxa" w:w="960"/>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Pattern: Core FFO has been remarkably consistent — in-line or slight beat in 6 of 8 quarters, with the one notable miss (Q3 2025, -3.9%) driven by accelerated capitalized interest reduction. Occupancy has been the more volatile KPI, missing consensus in 3 of the last 4 quarters as the life science demand downturn deepened, underscoring it as the higher-risk metric heading into Q2 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 since the Q1 2026 earnings call (April 28, 2026) — the FY 2026 Core FFO midpoint of $6.40 was reaffirmed and no post-earnings 8-K or conference has revised it. The tone remains defensive, with management focused on executing the $2.9B disposition program and managing occupancy through a known trough in Q2 before a guided 2H recovery.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Core FFO per Share</w:t>
            </w:r>
          </w:p>
        </w:tc>
        <w:tc>
          <w:tcPr>
            <w:tcW w:type="dxa" w:w="1728"/>
          </w:tcPr>
          <w:p>
            <w:r>
              <w:rPr>
                <w:rFonts w:ascii="Calibri" w:hAnsi="Calibri"/>
                <w:sz w:val="22"/>
              </w:rPr>
              <w:t>$6.20–$6.60 (midpoint $6.40); reaffirmed from Investor Day</w:t>
            </w:r>
          </w:p>
        </w:tc>
        <w:tc>
          <w:tcPr>
            <w:tcW w:type="dxa" w:w="1728"/>
          </w:tcPr>
          <w:p>
            <w:r>
              <w:rPr>
                <w:rFonts w:ascii="Calibri" w:hAnsi="Calibri"/>
                <w:sz w:val="22"/>
              </w:rPr>
              <w:t>—</w:t>
            </w:r>
          </w:p>
        </w:tc>
        <w:tc>
          <w:tcPr>
            <w:tcW w:type="dxa" w:w="1728"/>
          </w:tcPr>
          <w:p>
            <w:r>
              <w:rPr>
                <w:rFonts w:ascii="Calibri" w:hAnsi="Calibri"/>
                <w:sz w:val="22"/>
              </w:rPr>
              <w:t>$6.36</w:t>
            </w:r>
          </w:p>
        </w:tc>
        <w:tc>
          <w:tcPr>
            <w:tcW w:type="dxa" w:w="1728"/>
          </w:tcPr>
          <w:p>
            <w:r>
              <w:rPr>
                <w:rFonts w:ascii="Calibri" w:hAnsi="Calibri"/>
                <w:sz w:val="22"/>
              </w:rPr>
              <w:t>Unchanged since Q1 call; consensus sits ~$0.04 below midpoint, within normal rounding</w:t>
            </w:r>
          </w:p>
        </w:tc>
      </w:tr>
      <w:tr>
        <w:tc>
          <w:tcPr>
            <w:tcW w:type="dxa" w:w="1728"/>
          </w:tcPr>
          <w:p>
            <w:r>
              <w:rPr>
                <w:rFonts w:ascii="Calibri" w:hAnsi="Calibri"/>
                <w:sz w:val="22"/>
              </w:rPr>
              <w:t>4Q 2026 Core FFO per Share (Run-Rate)</w:t>
            </w:r>
          </w:p>
        </w:tc>
        <w:tc>
          <w:tcPr>
            <w:tcW w:type="dxa" w:w="1728"/>
          </w:tcPr>
          <w:p>
            <w:r>
              <w:rPr>
                <w:rFonts w:ascii="Calibri" w:hAnsi="Calibri"/>
                <w:sz w:val="22"/>
              </w:rPr>
              <w:t>$1.40–$1.50 (midpoint $1.45); tightened from Investor Day range of $1.40–$1.60</w:t>
            </w:r>
          </w:p>
        </w:tc>
        <w:tc>
          <w:tcPr>
            <w:tcW w:type="dxa" w:w="1728"/>
          </w:tcPr>
          <w:p>
            <w:r>
              <w:rPr>
                <w:rFonts w:ascii="Calibri" w:hAnsi="Calibri"/>
                <w:sz w:val="22"/>
              </w:rPr>
              <w:t>—</w:t>
            </w:r>
          </w:p>
        </w:tc>
        <w:tc>
          <w:tcPr>
            <w:tcW w:type="dxa" w:w="1728"/>
          </w:tcPr>
          <w:p>
            <w:r>
              <w:rPr>
                <w:rFonts w:ascii="Calibri" w:hAnsi="Calibri"/>
                <w:sz w:val="22"/>
              </w:rPr>
              <w:t>~$1.63 (Q2 2026 consensus as proxy)</w:t>
            </w:r>
          </w:p>
        </w:tc>
        <w:tc>
          <w:tcPr>
            <w:tcW w:type="dxa" w:w="1728"/>
          </w:tcPr>
          <w:p>
            <w:r>
              <w:rPr>
                <w:rFonts w:ascii="Calibri" w:hAnsi="Calibri"/>
                <w:sz w:val="22"/>
              </w:rPr>
              <w:t>4Q26 midpoint reduced $0.05 at Q1 call due to lower capitalized interest; no further revision</w:t>
            </w:r>
          </w:p>
        </w:tc>
      </w:tr>
      <w:tr>
        <w:tc>
          <w:tcPr>
            <w:tcW w:type="dxa" w:w="1728"/>
          </w:tcPr>
          <w:p>
            <w:r>
              <w:rPr>
                <w:rFonts w:ascii="Calibri" w:hAnsi="Calibri"/>
                <w:sz w:val="22"/>
              </w:rPr>
              <w:t>Year-End 2026 Occupancy</w:t>
            </w:r>
          </w:p>
        </w:tc>
        <w:tc>
          <w:tcPr>
            <w:tcW w:type="dxa" w:w="1728"/>
          </w:tcPr>
          <w:p>
            <w:r>
              <w:rPr>
                <w:rFonts w:ascii="Calibri" w:hAnsi="Calibri"/>
                <w:sz w:val="22"/>
              </w:rPr>
              <w:t>~87.0% midpoint (lowered from 88.5% at Investor Day); Q2 expected to be trough</w:t>
            </w:r>
          </w:p>
        </w:tc>
        <w:tc>
          <w:tcPr>
            <w:tcW w:type="dxa" w:w="1728"/>
          </w:tcPr>
          <w:p>
            <w:r>
              <w:rPr>
                <w:rFonts w:ascii="Calibri" w:hAnsi="Calibri"/>
                <w:sz w:val="22"/>
              </w:rPr>
              <w:t>—</w:t>
            </w:r>
          </w:p>
        </w:tc>
        <w:tc>
          <w:tcPr>
            <w:tcW w:type="dxa" w:w="1728"/>
          </w:tcPr>
          <w:p>
            <w:r>
              <w:rPr>
                <w:rFonts w:ascii="Calibri" w:hAnsi="Calibri"/>
                <w:sz w:val="22"/>
              </w:rPr>
              <w:t>87.1% (FY 2026 consensus)</w:t>
            </w:r>
          </w:p>
        </w:tc>
        <w:tc>
          <w:tcPr>
            <w:tcW w:type="dxa" w:w="1728"/>
          </w:tcPr>
          <w:p>
            <w:r>
              <w:rPr>
                <w:rFonts w:ascii="Calibri" w:hAnsi="Calibri"/>
                <w:sz w:val="22"/>
              </w:rPr>
              <w:t>Lowered 150 bps at Q1 call; fewer vacant-space dispositions than initially assumed; no post-Q1 revision</w:t>
            </w:r>
          </w:p>
        </w:tc>
      </w:tr>
      <w:tr>
        <w:tc>
          <w:tcPr>
            <w:tcW w:type="dxa" w:w="1728"/>
          </w:tcPr>
          <w:p>
            <w:r>
              <w:rPr>
                <w:rFonts w:ascii="Calibri" w:hAnsi="Calibri"/>
                <w:sz w:val="22"/>
              </w:rPr>
              <w:t>FY 2026 Same-Store NOI Growth</w:t>
            </w:r>
          </w:p>
        </w:tc>
        <w:tc>
          <w:tcPr>
            <w:tcW w:type="dxa" w:w="1728"/>
          </w:tcPr>
          <w:p>
            <w:r>
              <w:rPr>
                <w:rFonts w:ascii="Calibri" w:hAnsi="Calibri"/>
                <w:sz w:val="22"/>
              </w:rPr>
              <w:t>-9.5% midpoint (worsened from -8.5% at Investor Day); 2H expected stronger than 1H</w:t>
            </w:r>
          </w:p>
        </w:tc>
        <w:tc>
          <w:tcPr>
            <w:tcW w:type="dxa" w:w="1728"/>
          </w:tcPr>
          <w:p>
            <w:r>
              <w:rPr>
                <w:rFonts w:ascii="Calibri" w:hAnsi="Calibri"/>
                <w:sz w:val="22"/>
              </w:rPr>
              <w:t>—</w:t>
            </w:r>
          </w:p>
        </w:tc>
        <w:tc>
          <w:tcPr>
            <w:tcW w:type="dxa" w:w="1728"/>
          </w:tcPr>
          <w:p>
            <w:r>
              <w:rPr>
                <w:rFonts w:ascii="Calibri" w:hAnsi="Calibri"/>
                <w:sz w:val="22"/>
              </w:rPr>
              <w:t>-10.6% (FY 2026 consensus)</w:t>
            </w:r>
          </w:p>
        </w:tc>
        <w:tc>
          <w:tcPr>
            <w:tcW w:type="dxa" w:w="1728"/>
          </w:tcPr>
          <w:p>
            <w:r>
              <w:rPr>
                <w:rFonts w:ascii="Calibri" w:hAnsi="Calibri"/>
                <w:sz w:val="22"/>
              </w:rPr>
              <w:t>Worsened 100 bps at Q1 call; consensus sits ~110 bps below guidance midpoint, implying market skepticism on 2H recovery</w:t>
            </w:r>
          </w:p>
        </w:tc>
      </w:tr>
      <w:tr>
        <w:tc>
          <w:tcPr>
            <w:tcW w:type="dxa" w:w="1728"/>
          </w:tcPr>
          <w:p>
            <w:r>
              <w:rPr>
                <w:rFonts w:ascii="Calibri" w:hAnsi="Calibri"/>
                <w:sz w:val="22"/>
              </w:rPr>
              <w:t>FY 2026 Dispositions &amp; Sales of Partial Interest</w:t>
            </w:r>
          </w:p>
        </w:tc>
        <w:tc>
          <w:tcPr>
            <w:tcW w:type="dxa" w:w="1728"/>
          </w:tcPr>
          <w:p>
            <w:r>
              <w:rPr>
                <w:rFonts w:ascii="Calibri" w:hAnsi="Calibri"/>
                <w:sz w:val="22"/>
              </w:rPr>
              <w:t>$2.9B midpoint; ~80% pending or identified; weighted avg. completion August 2026 (~1 month later than Investor Day)</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Key execution risk; JV structures for core assets now a significant component; no post-Q1 update</w:t>
            </w:r>
          </w:p>
        </w:tc>
      </w:tr>
      <w:tr>
        <w:tc>
          <w:tcPr>
            <w:tcW w:type="dxa" w:w="1728"/>
          </w:tcPr>
          <w:p>
            <w:r>
              <w:rPr>
                <w:rFonts w:ascii="Calibri" w:hAnsi="Calibri"/>
                <w:sz w:val="22"/>
              </w:rPr>
              <w:t>FY 2026 G&amp;A Expenses</w:t>
            </w:r>
          </w:p>
        </w:tc>
        <w:tc>
          <w:tcPr>
            <w:tcW w:type="dxa" w:w="1728"/>
          </w:tcPr>
          <w:p>
            <w:r>
              <w:rPr>
                <w:rFonts w:ascii="Calibri" w:hAnsi="Calibri"/>
                <w:sz w:val="22"/>
              </w:rPr>
              <w:t>$134M–$154M (midpoint $144M); ~14% savings vs. 2024 benchmark</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On track per Q1 call; no revision</w:t>
            </w:r>
          </w:p>
        </w:tc>
      </w:tr>
      <w:tr>
        <w:tc>
          <w:tcPr>
            <w:tcW w:type="dxa" w:w="1728"/>
          </w:tcPr>
          <w:p>
            <w:r>
              <w:rPr>
                <w:rFonts w:ascii="Calibri" w:hAnsi="Calibri"/>
                <w:sz w:val="22"/>
              </w:rPr>
              <w:t>FY 2026 Realized Investment Gains</w:t>
            </w:r>
          </w:p>
        </w:tc>
        <w:tc>
          <w:tcPr>
            <w:tcW w:type="dxa" w:w="1728"/>
          </w:tcPr>
          <w:p>
            <w:r>
              <w:rPr>
                <w:rFonts w:ascii="Calibri" w:hAnsi="Calibri"/>
                <w:sz w:val="22"/>
              </w:rPr>
              <w:t>$60M–$90M (midpoint $75M); $18M realized in Q1 2026</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Reiterated at Q1 call; no revision</w:t>
            </w:r>
          </w:p>
        </w:tc>
      </w:tr>
      <w:tr>
        <w:tc>
          <w:tcPr>
            <w:tcW w:type="dxa" w:w="1728"/>
          </w:tcPr>
          <w:p>
            <w:r>
              <w:rPr>
                <w:rFonts w:ascii="Calibri" w:hAnsi="Calibri"/>
                <w:sz w:val="22"/>
              </w:rPr>
              <w:t>Q2 2026 Leasing Volume (Guidance)</w:t>
            </w:r>
          </w:p>
        </w:tc>
        <w:tc>
          <w:tcPr>
            <w:tcW w:type="dxa" w:w="1728"/>
          </w:tcPr>
          <w:p>
            <w:r>
              <w:rPr>
                <w:rFonts w:ascii="Calibri" w:hAnsi="Calibri"/>
                <w:sz w:val="22"/>
              </w:rPr>
              <w:t>~900 Ksf expected (vs. 647 Ksf in Q1 2026); management cited early activity</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Key watch item for Q2 print; public biotech demand remains the critical variable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Q1 2026 print — Q2 Core FFO consensus slipped from $1.65 to $1.63 and FY 2026 from $6.35 to $6.36 (essentially flat) — tracking guidance rather than diverging. The more notable gap is in same-store NOI, where consensus (-10.6% FY) sits ~110 bps below the guidance midpoint (-9.5%), suggesting the market is not fully buying the 2H recovery story.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2, 2026)</w:t>
            </w:r>
          </w:p>
        </w:tc>
        <w:tc>
          <w:tcPr>
            <w:tcW w:type="dxa" w:w="1080"/>
            <w:shd w:val="clear" w:color="auto" w:fill="3B4259"/>
          </w:tcPr>
          <w:p>
            <w:r>
              <w:rPr>
                <w:rFonts w:ascii="Calibri" w:hAnsi="Calibri"/>
                <w:b/>
                <w:color w:val="FFFFFF"/>
                <w:sz w:val="22"/>
              </w:rPr>
              <w:t>Current Consensus (Aug 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FFO/Share — Q2 2026</w:t>
            </w:r>
          </w:p>
        </w:tc>
        <w:tc>
          <w:tcPr>
            <w:tcW w:type="dxa" w:w="1080"/>
          </w:tcPr>
          <w:p>
            <w:r>
              <w:rPr>
                <w:rFonts w:ascii="Calibri" w:hAnsi="Calibri"/>
                <w:sz w:val="22"/>
              </w:rPr>
              <w:t>$1.65</w:t>
            </w:r>
          </w:p>
        </w:tc>
        <w:tc>
          <w:tcPr>
            <w:tcW w:type="dxa" w:w="1080"/>
          </w:tcPr>
          <w:p>
            <w:r>
              <w:rPr>
                <w:rFonts w:ascii="Calibri" w:hAnsi="Calibri"/>
                <w:sz w:val="22"/>
              </w:rPr>
              <w:t>$1.63</w:t>
            </w:r>
          </w:p>
        </w:tc>
        <w:tc>
          <w:tcPr>
            <w:tcW w:type="dxa" w:w="1080"/>
          </w:tcPr>
          <w:p>
            <w:r>
              <w:rPr>
                <w:rFonts w:ascii="Calibri" w:hAnsi="Calibri"/>
                <w:b/>
                <w:color w:val="E5484D"/>
                <w:sz w:val="22"/>
              </w:rPr>
              <w:t>-1.2%</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FFO/Share — FY 2026</w:t>
            </w:r>
          </w:p>
        </w:tc>
        <w:tc>
          <w:tcPr>
            <w:tcW w:type="dxa" w:w="1080"/>
          </w:tcPr>
          <w:p>
            <w:r>
              <w:rPr>
                <w:rFonts w:ascii="Calibri" w:hAnsi="Calibri"/>
                <w:sz w:val="22"/>
              </w:rPr>
              <w:t>$6.35</w:t>
            </w:r>
          </w:p>
        </w:tc>
        <w:tc>
          <w:tcPr>
            <w:tcW w:type="dxa" w:w="1080"/>
          </w:tcPr>
          <w:p>
            <w:r>
              <w:rPr>
                <w:rFonts w:ascii="Calibri" w:hAnsi="Calibri"/>
                <w:sz w:val="22"/>
              </w:rPr>
              <w:t>$6.36</w:t>
            </w:r>
          </w:p>
        </w:tc>
        <w:tc>
          <w:tcPr>
            <w:tcW w:type="dxa" w:w="1080"/>
          </w:tcPr>
          <w:p>
            <w:r>
              <w:rPr>
                <w:rFonts w:ascii="Calibri" w:hAnsi="Calibri"/>
                <w:sz w:val="22"/>
              </w:rPr>
              <w:t>+0.2%</w:t>
            </w:r>
          </w:p>
        </w:tc>
        <w:tc>
          <w:tcPr>
            <w:tcW w:type="dxa" w:w="1080"/>
          </w:tcPr>
          <w:p>
            <w:r>
              <w:rPr>
                <w:rFonts w:ascii="Calibri" w:hAnsi="Calibri"/>
                <w:sz w:val="22"/>
              </w:rPr>
              <w:t>$6.20–$6.60 (mid $6.40)</w:t>
            </w:r>
          </w:p>
        </w:tc>
        <w:tc>
          <w:tcPr>
            <w:tcW w:type="dxa" w:w="1080"/>
          </w:tcPr>
          <w:p>
            <w:r>
              <w:rPr>
                <w:rFonts w:ascii="Calibri" w:hAnsi="Calibri"/>
                <w:sz w:val="22"/>
              </w:rPr>
              <w:t>$6.20–$6.60 (mid $6.40); unchanged</w:t>
            </w:r>
          </w:p>
        </w:tc>
        <w:tc>
          <w:tcPr>
            <w:tcW w:type="dxa" w:w="1080"/>
          </w:tcPr>
          <w:p>
            <w:r>
              <w:rPr>
                <w:rFonts w:ascii="Calibri" w:hAnsi="Calibri"/>
                <w:sz w:val="22"/>
              </w:rPr>
              <w:t>Unchanged</w:t>
            </w:r>
          </w:p>
        </w:tc>
        <w:tc>
          <w:tcPr>
            <w:tcW w:type="dxa" w:w="1080"/>
          </w:tcPr>
          <w:p>
            <w:r>
              <w:rPr>
                <w:rFonts w:ascii="Calibri" w:hAnsi="Calibri"/>
                <w:sz w:val="22"/>
              </w:rPr>
              <w:t>-0.6% below midpoint</w:t>
            </w:r>
          </w:p>
        </w:tc>
      </w:tr>
      <w:tr>
        <w:tc>
          <w:tcPr>
            <w:tcW w:type="dxa" w:w="1080"/>
          </w:tcPr>
          <w:p>
            <w:r>
              <w:rPr>
                <w:rFonts w:ascii="Calibri" w:hAnsi="Calibri"/>
                <w:sz w:val="22"/>
              </w:rPr>
              <w:t>Total Revenue — Q2 2026 ($M)</w:t>
            </w:r>
          </w:p>
        </w:tc>
        <w:tc>
          <w:tcPr>
            <w:tcW w:type="dxa" w:w="1080"/>
          </w:tcPr>
          <w:p>
            <w:r>
              <w:rPr>
                <w:rFonts w:ascii="Calibri" w:hAnsi="Calibri"/>
                <w:sz w:val="22"/>
              </w:rPr>
              <w:t>$646.0M</w:t>
            </w:r>
          </w:p>
        </w:tc>
        <w:tc>
          <w:tcPr>
            <w:tcW w:type="dxa" w:w="1080"/>
          </w:tcPr>
          <w:p>
            <w:r>
              <w:rPr>
                <w:rFonts w:ascii="Calibri" w:hAnsi="Calibri"/>
                <w:sz w:val="22"/>
              </w:rPr>
              <w:t>$644.7M</w:t>
            </w:r>
          </w:p>
        </w:tc>
        <w:tc>
          <w:tcPr>
            <w:tcW w:type="dxa" w:w="1080"/>
          </w:tcPr>
          <w:p>
            <w:r>
              <w:rPr>
                <w:rFonts w:ascii="Calibri" w:hAnsi="Calibri"/>
                <w:sz w:val="22"/>
              </w:rPr>
              <w:t>-0.2%</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 ($B)</w:t>
            </w:r>
          </w:p>
        </w:tc>
        <w:tc>
          <w:tcPr>
            <w:tcW w:type="dxa" w:w="1080"/>
          </w:tcPr>
          <w:p>
            <w:r>
              <w:rPr>
                <w:rFonts w:ascii="Calibri" w:hAnsi="Calibri"/>
                <w:sz w:val="22"/>
              </w:rPr>
              <w:t>$2.536B</w:t>
            </w:r>
          </w:p>
        </w:tc>
        <w:tc>
          <w:tcPr>
            <w:tcW w:type="dxa" w:w="1080"/>
          </w:tcPr>
          <w:p>
            <w:r>
              <w:rPr>
                <w:rFonts w:ascii="Calibri" w:hAnsi="Calibri"/>
                <w:sz w:val="22"/>
              </w:rPr>
              <w:t>$2.573B</w:t>
            </w:r>
          </w:p>
        </w:tc>
        <w:tc>
          <w:tcPr>
            <w:tcW w:type="dxa" w:w="1080"/>
          </w:tcPr>
          <w:p>
            <w:r>
              <w:rPr>
                <w:rFonts w:ascii="Calibri" w:hAnsi="Calibri"/>
                <w:b/>
                <w:color w:val="30A46C"/>
                <w:sz w:val="22"/>
              </w:rPr>
              <w:t>+1.5%</w:t>
            </w:r>
          </w:p>
        </w:tc>
        <w:tc>
          <w:tcPr>
            <w:tcW w:type="dxa" w:w="1080"/>
          </w:tcPr>
          <w:p>
            <w:r>
              <w:rPr>
                <w:rFonts w:ascii="Calibri" w:hAnsi="Calibri"/>
                <w:sz w:val="22"/>
              </w:rPr>
              <w:t>No explicit FY revenue guidance</w:t>
            </w:r>
          </w:p>
        </w:tc>
        <w:tc>
          <w:tcPr>
            <w:tcW w:type="dxa" w:w="1080"/>
          </w:tcPr>
          <w:p>
            <w:r>
              <w:rPr>
                <w:rFonts w:ascii="Calibri" w:hAnsi="Calibri"/>
                <w:sz w:val="22"/>
              </w:rPr>
              <w:t>No explicit FY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Occupancy Rate — Q2 2026 (%)</w:t>
            </w:r>
          </w:p>
        </w:tc>
        <w:tc>
          <w:tcPr>
            <w:tcW w:type="dxa" w:w="1080"/>
          </w:tcPr>
          <w:p>
            <w:r>
              <w:rPr>
                <w:rFonts w:ascii="Calibri" w:hAnsi="Calibri"/>
                <w:sz w:val="22"/>
              </w:rPr>
              <w:t>87.3%</w:t>
            </w:r>
          </w:p>
        </w:tc>
        <w:tc>
          <w:tcPr>
            <w:tcW w:type="dxa" w:w="1080"/>
          </w:tcPr>
          <w:p>
            <w:r>
              <w:rPr>
                <w:rFonts w:ascii="Calibri" w:hAnsi="Calibri"/>
                <w:sz w:val="22"/>
              </w:rPr>
              <w:t>86.6%</w:t>
            </w:r>
          </w:p>
        </w:tc>
        <w:tc>
          <w:tcPr>
            <w:tcW w:type="dxa" w:w="1080"/>
          </w:tcPr>
          <w:p>
            <w:r>
              <w:rPr>
                <w:rFonts w:ascii="Calibri" w:hAnsi="Calibri"/>
                <w:b/>
                <w:color w:val="E5484D"/>
                <w:sz w:val="22"/>
              </w:rPr>
              <w:t>-70 bps</w:t>
            </w:r>
          </w:p>
        </w:tc>
        <w:tc>
          <w:tcPr>
            <w:tcW w:type="dxa" w:w="1080"/>
          </w:tcPr>
          <w:p>
            <w:r>
              <w:rPr>
                <w:rFonts w:ascii="Calibri" w:hAnsi="Calibri"/>
                <w:sz w:val="22"/>
              </w:rPr>
              <w:t>Year-end 87.0% (Q2 expected trough; ~45% of 747 Ksf expirations in Q2)</w:t>
            </w:r>
          </w:p>
        </w:tc>
        <w:tc>
          <w:tcPr>
            <w:tcW w:type="dxa" w:w="1080"/>
          </w:tcPr>
          <w:p>
            <w:r>
              <w:rPr>
                <w:rFonts w:ascii="Calibri" w:hAnsi="Calibri"/>
                <w:sz w:val="22"/>
              </w:rPr>
              <w:t>Year-end 87.0%; unchanged</w:t>
            </w:r>
          </w:p>
        </w:tc>
        <w:tc>
          <w:tcPr>
            <w:tcW w:type="dxa" w:w="1080"/>
          </w:tcPr>
          <w:p>
            <w:r>
              <w:rPr>
                <w:rFonts w:ascii="Calibri" w:hAnsi="Calibri"/>
                <w:sz w:val="22"/>
              </w:rPr>
              <w:t>Unchanged</w:t>
            </w:r>
          </w:p>
        </w:tc>
        <w:tc>
          <w:tcPr>
            <w:tcW w:type="dxa" w:w="1080"/>
          </w:tcPr>
          <w:p>
            <w:r>
              <w:rPr>
                <w:rFonts w:ascii="Calibri" w:hAnsi="Calibri"/>
                <w:sz w:val="22"/>
              </w:rPr>
              <w:t>~-40 bps below year-end midpoint</w:t>
            </w:r>
          </w:p>
        </w:tc>
      </w:tr>
      <w:tr>
        <w:tc>
          <w:tcPr>
            <w:tcW w:type="dxa" w:w="1080"/>
          </w:tcPr>
          <w:p>
            <w:r>
              <w:rPr>
                <w:rFonts w:ascii="Calibri" w:hAnsi="Calibri"/>
                <w:sz w:val="22"/>
              </w:rPr>
              <w:t>Same-Store NOI Growth — Q2 2026 (%)</w:t>
            </w:r>
          </w:p>
        </w:tc>
        <w:tc>
          <w:tcPr>
            <w:tcW w:type="dxa" w:w="1080"/>
          </w:tcPr>
          <w:p>
            <w:r>
              <w:rPr>
                <w:rFonts w:ascii="Calibri" w:hAnsi="Calibri"/>
                <w:sz w:val="22"/>
              </w:rPr>
              <w:t>-12.7%</w:t>
            </w:r>
          </w:p>
        </w:tc>
        <w:tc>
          <w:tcPr>
            <w:tcW w:type="dxa" w:w="1080"/>
          </w:tcPr>
          <w:p>
            <w:r>
              <w:rPr>
                <w:rFonts w:ascii="Calibri" w:hAnsi="Calibri"/>
                <w:sz w:val="22"/>
              </w:rPr>
              <w:t>-10.9%</w:t>
            </w:r>
          </w:p>
        </w:tc>
        <w:tc>
          <w:tcPr>
            <w:tcW w:type="dxa" w:w="1080"/>
          </w:tcPr>
          <w:p>
            <w:r>
              <w:rPr>
                <w:rFonts w:ascii="Calibri" w:hAnsi="Calibri"/>
                <w:b/>
                <w:color w:val="30A46C"/>
                <w:sz w:val="22"/>
              </w:rPr>
              <w:t>+180 bps (less negative)</w:t>
            </w:r>
          </w:p>
        </w:tc>
        <w:tc>
          <w:tcPr>
            <w:tcW w:type="dxa" w:w="1080"/>
          </w:tcPr>
          <w:p>
            <w:r>
              <w:rPr>
                <w:rFonts w:ascii="Calibri" w:hAnsi="Calibri"/>
                <w:sz w:val="22"/>
              </w:rPr>
              <w:t>FY midpoint -9.5%; 2H expected stronger</w:t>
            </w:r>
          </w:p>
        </w:tc>
        <w:tc>
          <w:tcPr>
            <w:tcW w:type="dxa" w:w="1080"/>
          </w:tcPr>
          <w:p>
            <w:r>
              <w:rPr>
                <w:rFonts w:ascii="Calibri" w:hAnsi="Calibri"/>
                <w:sz w:val="22"/>
              </w:rPr>
              <w:t>FY midpoint -9.5%; unchanged</w:t>
            </w:r>
          </w:p>
        </w:tc>
        <w:tc>
          <w:tcPr>
            <w:tcW w:type="dxa" w:w="1080"/>
          </w:tcPr>
          <w:p>
            <w:r>
              <w:rPr>
                <w:rFonts w:ascii="Calibri" w:hAnsi="Calibri"/>
                <w:sz w:val="22"/>
              </w:rPr>
              <w:t>Unchanged</w:t>
            </w:r>
          </w:p>
        </w:tc>
        <w:tc>
          <w:tcPr>
            <w:tcW w:type="dxa" w:w="1080"/>
          </w:tcPr>
          <w:p>
            <w:r>
              <w:rPr>
                <w:rFonts w:ascii="Calibri" w:hAnsi="Calibri"/>
                <w:sz w:val="22"/>
              </w:rPr>
              <w:t>~-140 bps below FY midpoint (1H drag)</w:t>
            </w:r>
          </w:p>
        </w:tc>
      </w:tr>
      <w:tr>
        <w:tc>
          <w:tcPr>
            <w:tcW w:type="dxa" w:w="1080"/>
          </w:tcPr>
          <w:p>
            <w:r>
              <w:rPr>
                <w:rFonts w:ascii="Calibri" w:hAnsi="Calibri"/>
                <w:sz w:val="22"/>
              </w:rPr>
              <w:t>Same-Store NOI Growth — FY 2026 (%)</w:t>
            </w:r>
          </w:p>
        </w:tc>
        <w:tc>
          <w:tcPr>
            <w:tcW w:type="dxa" w:w="1080"/>
          </w:tcPr>
          <w:p>
            <w:r>
              <w:rPr>
                <w:rFonts w:ascii="Calibri" w:hAnsi="Calibri"/>
                <w:sz w:val="22"/>
              </w:rPr>
              <w:t>-12.8%</w:t>
            </w:r>
          </w:p>
        </w:tc>
        <w:tc>
          <w:tcPr>
            <w:tcW w:type="dxa" w:w="1080"/>
          </w:tcPr>
          <w:p>
            <w:r>
              <w:rPr>
                <w:rFonts w:ascii="Calibri" w:hAnsi="Calibri"/>
                <w:sz w:val="22"/>
              </w:rPr>
              <w:t>-10.6%</w:t>
            </w:r>
          </w:p>
        </w:tc>
        <w:tc>
          <w:tcPr>
            <w:tcW w:type="dxa" w:w="1080"/>
          </w:tcPr>
          <w:p>
            <w:r>
              <w:rPr>
                <w:rFonts w:ascii="Calibri" w:hAnsi="Calibri"/>
                <w:b/>
                <w:color w:val="30A46C"/>
                <w:sz w:val="22"/>
              </w:rPr>
              <w:t>+220 bps (less negative)</w:t>
            </w:r>
          </w:p>
        </w:tc>
        <w:tc>
          <w:tcPr>
            <w:tcW w:type="dxa" w:w="1080"/>
          </w:tcPr>
          <w:p>
            <w:r>
              <w:rPr>
                <w:rFonts w:ascii="Calibri" w:hAnsi="Calibri"/>
                <w:sz w:val="22"/>
              </w:rPr>
              <w:t>FY midpoint -9.5%</w:t>
            </w:r>
          </w:p>
        </w:tc>
        <w:tc>
          <w:tcPr>
            <w:tcW w:type="dxa" w:w="1080"/>
          </w:tcPr>
          <w:p>
            <w:r>
              <w:rPr>
                <w:rFonts w:ascii="Calibri" w:hAnsi="Calibri"/>
                <w:sz w:val="22"/>
              </w:rPr>
              <w:t>FY midpoint -9.5%; unchanged</w:t>
            </w:r>
          </w:p>
        </w:tc>
        <w:tc>
          <w:tcPr>
            <w:tcW w:type="dxa" w:w="1080"/>
          </w:tcPr>
          <w:p>
            <w:r>
              <w:rPr>
                <w:rFonts w:ascii="Calibri" w:hAnsi="Calibri"/>
                <w:sz w:val="22"/>
              </w:rPr>
              <w:t>Unchanged</w:t>
            </w:r>
          </w:p>
        </w:tc>
        <w:tc>
          <w:tcPr>
            <w:tcW w:type="dxa" w:w="1080"/>
          </w:tcPr>
          <w:p>
            <w:r>
              <w:rPr>
                <w:rFonts w:ascii="Calibri" w:hAnsi="Calibri"/>
                <w:sz w:val="22"/>
              </w:rPr>
              <w:t>-110 bps below guidance midpoint; market skeptical on 2H recovery</w:t>
            </w:r>
          </w:p>
        </w:tc>
      </w:tr>
    </w:tbl>
    <w:p>
      <w:r>
        <w:rPr>
          <w:rFonts w:ascii="Calibri" w:hAnsi="Calibri"/>
          <w:i/>
          <w:color w:val="525866"/>
          <w:sz w:val="22"/>
        </w:rPr>
        <w:t xml:space="preserve">Source: Visible Alpha Consensus and Actuals Data. </w:t>
      </w:r>
      <w:r>
        <w:rPr>
          <w:rFonts w:ascii="Calibri" w:hAnsi="Calibri"/>
          <w:i/>
          <w:color w:val="525866"/>
          <w:sz w:val="22"/>
        </w:rPr>
        <w:t>Baseline estimates as of ~5 trading days post Q1 2026 earnings (May 2, 2026). The most notable divergence is in same-store NOI, where consensus (-10.6% FY) sits ~110 bps below the guidance midpoint (-9.5%), reflecting market skepticism about the pace of 2H occupancy recovery. Core FFO estimates have been remarkably stable, suggesting the street is comfortable with the earnings floor but not yet willing to price in upside from the disposition and leasing recovery.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ARE has dramatically outperformed since the Q1 2026 earnings date (+27.3% vs. IYR +3.3% and SPY +5.0%), driven primarily by sentiment recovery and multiple re-rating from deeply depressed levels — not by estimate revisions, which have been flat to slightly negative. The stock's sharp recovery makes the setup asymmetric heading into Q2: a beat on leasing/occupancy could extend the re-rating, but any disappointment risks giving back recent gains.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ARE vs. IYR (iShares U.S. Real Estate ETF) vs. S&amp;P 500 — Indexed to 100 at Q1 2026 Earnings Date (April 27, 2026). Source: Stock Price Data (Yahoo Finance). ARE +27.3%, IYR +3.3%, SPY +5.0% through August 1, 2026. Vertical dashed lines mark: (1) $5B Credit Facility Locked (July 9, 2026); (2) Mizuho PT Cut to $60 (July 6, 2026); (3) Evercore PT Raise to $60 (July 1, 2026).</w:t>
      </w:r>
    </w:p>
    <w:p>
      <w:r>
        <w:rPr>
          <w:rFonts w:ascii="Calibri" w:hAnsi="Calibri"/>
          <w:color w:val="525866"/>
          <w:sz w:val="22"/>
        </w:rPr>
        <w:t>ARE's ~27% recovery since the Q1 2026 earnings date (April 27, 2026) stands in stark contrast to the IYR REIT ETF (+3.3%) and S&amp;P 500 (+5.0%), suggesting the move has been driven by sector-specific sentiment recovery and value-oriented buying at depressed levels rather than broad market tailwinds or upward estimate revisions. The stock bottomed near $40 in late April/early May following the Q1 print (which included zero public biotech leases), then staged a sharp recovery through late May and June as the $5B credit facility was locked in (July 9 8-K) and analyst price targets were revised. The stock has since pulled back from its ~$55 peak in late June to ~$51, suggesting some profit-taking ahead of the Q2 print. With the consensus price target at ~$51–$52 (essentially at current levels) and 12 of 17 analysts at Hold, the stock is priced for execution — not for upside surprise.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locking of a new $5B unsecured revolving credit facility (July 9, 2026), which materially de-risks the balance sheet and signals lender confidence in ARE's credit profile. The Morgan Stanley downgrade to Underweight (June 8) is the key negative overhang, but the stock has largely absorbed it.</w:t>
      </w:r>
    </w:p>
    <w:p>
      <w:pPr>
        <w:pStyle w:val="ListBullet"/>
        <w:ind w:left="360" w:hanging="360"/>
      </w:pPr>
      <w:r>
        <w:rPr>
          <w:rFonts w:ascii="Calibri" w:hAnsi="Calibri"/>
          <w:b/>
          <w:color w:val="525866"/>
          <w:sz w:val="22"/>
        </w:rPr>
        <w:t>July 9, 2026 — $5B Credit Facility Locked (8-K):</w:t>
      </w:r>
      <w:r>
        <w:rPr>
          <w:rFonts w:ascii="Calibri" w:hAnsi="Calibri"/>
          <w:color w:val="525866"/>
          <w:sz w:val="22"/>
        </w:rPr>
        <w:t xml:space="preserve"> ARE entered an escrow agreement to lock in terms for a Fourth Amended and Restated Credit Agreement providing a $5B unsecured senior revolving credit facility (plus $1B accordion option), extending maturity to January 22, 2032. Initial margin of 0.725% over SOFR. Conditions must be satisfied by October 1, 2026. </w:t>
      </w:r>
    </w:p>
    <w:p>
      <w:pPr>
        <w:pStyle w:val="ListBullet"/>
        <w:ind w:left="360" w:hanging="360"/>
      </w:pPr>
      <w:r>
        <w:rPr>
          <w:rFonts w:ascii="Calibri" w:hAnsi="Calibri"/>
          <w:i/>
          <w:color w:val="525866"/>
          <w:sz w:val="22"/>
        </w:rPr>
        <w:t>Implication:</w:t>
      </w:r>
      <w:r>
        <w:rPr>
          <w:rFonts w:ascii="Calibri" w:hAnsi="Calibri"/>
          <w:color w:val="525866"/>
          <w:sz w:val="22"/>
        </w:rPr>
        <w:t xml:space="preserve"> Materially de-risks near-term liquidity concerns; signals major bank confidence (Citi, BofA, JPMorgan, Goldman, RBC as bookrunners). Removes a key bear thesis around refinancing risk during the disposition program execution.</w:t>
      </w:r>
    </w:p>
    <w:p>
      <w:pPr>
        <w:pStyle w:val="ListBullet"/>
        <w:ind w:left="360" w:hanging="360"/>
      </w:pPr>
      <w:r>
        <w:rPr>
          <w:rFonts w:ascii="Calibri" w:hAnsi="Calibri"/>
          <w:b/>
          <w:color w:val="525866"/>
          <w:sz w:val="22"/>
        </w:rPr>
        <w:t>July 6, 2026 — Mizuho PT Cut to $60 (from $70), Maintains Outperform:</w:t>
      </w:r>
      <w:r>
        <w:rPr>
          <w:rFonts w:ascii="Calibri" w:hAnsi="Calibri"/>
          <w:color w:val="525866"/>
          <w:sz w:val="22"/>
        </w:rPr>
        <w:t xml:space="preserve"> Analyst Vikram Malhotra lowered the price target by $10 while maintaining a constructive rating. </w:t>
      </w:r>
    </w:p>
    <w:p>
      <w:pPr>
        <w:pStyle w:val="ListBullet"/>
        <w:ind w:left="360" w:hanging="360"/>
      </w:pPr>
      <w:r>
        <w:rPr>
          <w:rFonts w:ascii="Calibri" w:hAnsi="Calibri"/>
          <w:i/>
          <w:color w:val="525866"/>
          <w:sz w:val="22"/>
        </w:rPr>
        <w:t>Implication:</w:t>
      </w:r>
      <w:r>
        <w:rPr>
          <w:rFonts w:ascii="Calibri" w:hAnsi="Calibri"/>
          <w:color w:val="525866"/>
          <w:sz w:val="22"/>
        </w:rPr>
        <w:t xml:space="preserve"> Reflects updated occupancy and FFO trajectory assumptions; the maintained Outperform suggests the analyst views the stock as oversold relative to fundamentals.</w:t>
      </w:r>
    </w:p>
    <w:p>
      <w:pPr>
        <w:pStyle w:val="ListBullet"/>
        <w:ind w:left="360" w:hanging="360"/>
      </w:pPr>
      <w:r>
        <w:rPr>
          <w:rFonts w:ascii="Calibri" w:hAnsi="Calibri"/>
          <w:b/>
          <w:color w:val="525866"/>
          <w:sz w:val="22"/>
        </w:rPr>
        <w:t>July 1, 2026 — Evercore ISI PT Raised to $60 (from $58), Maintains Outperform:</w:t>
      </w:r>
      <w:r>
        <w:rPr>
          <w:rFonts w:ascii="Calibri" w:hAnsi="Calibri"/>
          <w:color w:val="525866"/>
          <w:sz w:val="22"/>
        </w:rPr>
        <w:t xml:space="preserve"> Analyst Steve Sakwa raised the price target modestly. </w:t>
      </w:r>
    </w:p>
    <w:p>
      <w:pPr>
        <w:pStyle w:val="ListBullet"/>
        <w:ind w:left="360" w:hanging="360"/>
      </w:pPr>
      <w:r>
        <w:rPr>
          <w:rFonts w:ascii="Calibri" w:hAnsi="Calibri"/>
          <w:i/>
          <w:color w:val="525866"/>
          <w:sz w:val="22"/>
        </w:rPr>
        <w:t>Implication:</w:t>
      </w:r>
      <w:r>
        <w:rPr>
          <w:rFonts w:ascii="Calibri" w:hAnsi="Calibri"/>
          <w:color w:val="525866"/>
          <w:sz w:val="22"/>
        </w:rPr>
        <w:t xml:space="preserve"> Incremental positive; suggests improving confidence in the disposition program and balance sheet trajectory.</w:t>
      </w:r>
    </w:p>
    <w:p>
      <w:pPr>
        <w:pStyle w:val="ListBullet"/>
        <w:ind w:left="360" w:hanging="360"/>
      </w:pPr>
      <w:r>
        <w:rPr>
          <w:rFonts w:ascii="Calibri" w:hAnsi="Calibri"/>
          <w:b/>
          <w:color w:val="525866"/>
          <w:sz w:val="22"/>
        </w:rPr>
        <w:t>June 12, 2026 — BMO Capital PT Raised to $54 (from $52), Maintains Market Perform:</w:t>
      </w:r>
      <w:r>
        <w:rPr>
          <w:rFonts w:ascii="Calibri" w:hAnsi="Calibri"/>
          <w:color w:val="525866"/>
          <w:sz w:val="22"/>
        </w:rPr>
        <w:t xml:space="preserve"> Analyst John Kim raised the price target. </w:t>
      </w:r>
    </w:p>
    <w:p>
      <w:pPr>
        <w:pStyle w:val="ListBullet"/>
        <w:ind w:left="360" w:hanging="360"/>
      </w:pPr>
      <w:r>
        <w:rPr>
          <w:rFonts w:ascii="Calibri" w:hAnsi="Calibri"/>
          <w:i/>
          <w:color w:val="525866"/>
          <w:sz w:val="22"/>
        </w:rPr>
        <w:t>Implication:</w:t>
      </w:r>
      <w:r>
        <w:rPr>
          <w:rFonts w:ascii="Calibri" w:hAnsi="Calibri"/>
          <w:color w:val="525866"/>
          <w:sz w:val="22"/>
        </w:rPr>
        <w:t xml:space="preserve"> Neutral-to-positive; reflects stabilizing expectations but no change in rating.</w:t>
      </w:r>
    </w:p>
    <w:p>
      <w:pPr>
        <w:pStyle w:val="ListBullet"/>
        <w:ind w:left="360" w:hanging="360"/>
      </w:pPr>
      <w:r>
        <w:rPr>
          <w:rFonts w:ascii="Calibri" w:hAnsi="Calibri"/>
          <w:b/>
          <w:color w:val="525866"/>
          <w:sz w:val="22"/>
        </w:rPr>
        <w:t>June 8, 2026 — Morgan Stanley Downgrade to Underweight (from Equal-Weight), PT $53:</w:t>
      </w:r>
      <w:r>
        <w:rPr>
          <w:rFonts w:ascii="Calibri" w:hAnsi="Calibri"/>
          <w:color w:val="525866"/>
          <w:sz w:val="22"/>
        </w:rPr>
        <w:t xml:space="preserve"> Analyst Ronald Kamdem downgraded ARE to Underweight, maintaining the $53 price target. </w:t>
      </w:r>
    </w:p>
    <w:p>
      <w:pPr>
        <w:pStyle w:val="ListBullet"/>
        <w:ind w:left="360" w:hanging="360"/>
      </w:pPr>
      <w:r>
        <w:rPr>
          <w:rFonts w:ascii="Calibri" w:hAnsi="Calibri"/>
          <w:i/>
          <w:color w:val="525866"/>
          <w:sz w:val="22"/>
        </w:rPr>
        <w:t>Implication:</w:t>
      </w:r>
      <w:r>
        <w:rPr>
          <w:rFonts w:ascii="Calibri" w:hAnsi="Calibri"/>
          <w:color w:val="525866"/>
          <w:sz w:val="22"/>
        </w:rPr>
        <w:t xml:space="preserve"> Most significant negative analyst action since Q1 earnings; adds a prominent bear voice to the debate. The stock has since recovered above the $53 PT, suggesting the market has partially discounted this view.</w:t>
      </w:r>
    </w:p>
    <w:p>
      <w:pPr>
        <w:pStyle w:val="ListBullet"/>
        <w:ind w:left="360" w:hanging="360"/>
      </w:pPr>
      <w:r>
        <w:rPr>
          <w:rFonts w:ascii="Calibri" w:hAnsi="Calibri"/>
          <w:b/>
          <w:color w:val="525866"/>
          <w:sz w:val="22"/>
        </w:rPr>
        <w:t>June 9, 2026 — JLL 2026 U.S. Lab Property Report:</w:t>
      </w:r>
      <w:r>
        <w:rPr>
          <w:rFonts w:ascii="Calibri" w:hAnsi="Calibri"/>
          <w:color w:val="525866"/>
          <w:sz w:val="22"/>
        </w:rPr>
        <w:t xml:space="preserve"> JLL reported lab availability has dropped ~2M sq ft since mid-2025 (largest quarterly decline in a decade), signaling the market has bottomed. Boston, Bay Area, San Diego, and Raleigh-Durham saw combined demand surge 44% YoY to ~8M sq ft in Q1 2026. However, supply-to-demand ratio remains near 6:1 nationally, ensuring rental rate pressure through end of decade. </w:t>
      </w:r>
    </w:p>
    <w:p>
      <w:pPr>
        <w:pStyle w:val="ListBullet"/>
        <w:ind w:left="360" w:hanging="360"/>
      </w:pPr>
      <w:r>
        <w:rPr>
          <w:rFonts w:ascii="Calibri" w:hAnsi="Calibri"/>
          <w:i/>
          <w:color w:val="525866"/>
          <w:sz w:val="22"/>
        </w:rPr>
        <w:t>Implication:</w:t>
      </w:r>
      <w:r>
        <w:rPr>
          <w:rFonts w:ascii="Calibri" w:hAnsi="Calibri"/>
          <w:color w:val="525866"/>
          <w:sz w:val="22"/>
        </w:rPr>
        <w:t xml:space="preserve"> Supports ARE's Megacampus outperformance thesis in top-tier markets; validates the 2H recovery narrative but confirms the path is long.</w:t>
      </w:r>
    </w:p>
    <w:p>
      <w:pPr>
        <w:pStyle w:val="ListBullet"/>
        <w:ind w:left="360" w:hanging="360"/>
      </w:pPr>
      <w:r>
        <w:rPr>
          <w:rFonts w:ascii="Calibri" w:hAnsi="Calibri"/>
          <w:b/>
          <w:color w:val="525866"/>
          <w:sz w:val="22"/>
        </w:rPr>
        <w:t>May 14, 2026 — Annual Meeting (8-K):</w:t>
      </w:r>
      <w:r>
        <w:rPr>
          <w:rFonts w:ascii="Calibri" w:hAnsi="Calibri"/>
          <w:color w:val="525866"/>
          <w:sz w:val="22"/>
        </w:rPr>
        <w:t xml:space="preserve"> Stockholders approved directors, executive pay, and auditor. No material governance changes. </w:t>
      </w:r>
    </w:p>
    <w:p>
      <w:pPr>
        <w:pStyle w:val="ListBullet"/>
        <w:ind w:left="360" w:hanging="360"/>
      </w:pPr>
      <w:r>
        <w:rPr>
          <w:rFonts w:ascii="Calibri" w:hAnsi="Calibri"/>
          <w:i/>
          <w:color w:val="525866"/>
          <w:sz w:val="22"/>
        </w:rPr>
        <w:t>Implication:</w:t>
      </w:r>
      <w:r>
        <w:rPr>
          <w:rFonts w:ascii="Calibri" w:hAnsi="Calibri"/>
          <w:color w:val="525866"/>
          <w:sz w:val="22"/>
        </w:rPr>
        <w:t xml:space="preserve"> Routine; no read-through for the Q2 print.</w:t>
      </w:r>
    </w:p>
    <w:p>
      <w:pPr>
        <w:pStyle w:val="ListBullet"/>
        <w:ind w:left="360" w:hanging="360"/>
      </w:pPr>
      <w:r>
        <w:rPr>
          <w:rFonts w:ascii="Calibri" w:hAnsi="Calibri"/>
          <w:b/>
          <w:color w:val="525866"/>
          <w:sz w:val="22"/>
        </w:rPr>
        <w:t>May 4–6, 2026 — Baird Downgrade to Neutral (from Outperform):</w:t>
      </w:r>
      <w:r>
        <w:rPr>
          <w:rFonts w:ascii="Calibri" w:hAnsi="Calibri"/>
          <w:color w:val="525866"/>
          <w:sz w:val="22"/>
        </w:rPr>
        <w:t xml:space="preserve"> Baird downgraded ARE to Neutral. </w:t>
      </w:r>
    </w:p>
    <w:p>
      <w:pPr>
        <w:pStyle w:val="ListBullet"/>
        <w:ind w:left="360" w:hanging="360"/>
      </w:pPr>
      <w:r>
        <w:rPr>
          <w:rFonts w:ascii="Calibri" w:hAnsi="Calibri"/>
          <w:i/>
          <w:color w:val="525866"/>
          <w:sz w:val="22"/>
        </w:rPr>
        <w:t>Implication:</w:t>
      </w:r>
      <w:r>
        <w:rPr>
          <w:rFonts w:ascii="Calibri" w:hAnsi="Calibri"/>
          <w:color w:val="525866"/>
          <w:sz w:val="22"/>
        </w:rPr>
        <w:t xml:space="preserve"> Added to the cautious analyst tone post-Q1; reflects concern about the pace of occupancy recovery and disposition execution.</w:t>
      </w:r>
    </w:p>
    <w:p>
      <w:pPr>
        <w:pStyle w:val="ListBullet"/>
        <w:ind w:left="360" w:hanging="360"/>
      </w:pPr>
      <w:r>
        <w:rPr>
          <w:rFonts w:ascii="Calibri" w:hAnsi="Calibri"/>
          <w:b/>
          <w:color w:val="525866"/>
          <w:sz w:val="22"/>
        </w:rPr>
        <w:t>May 4–6, 2026 — RBC Capital PT Cut to $50 (from $60), Maintains Sector Perform:</w:t>
      </w:r>
      <w:r>
        <w:rPr>
          <w:rFonts w:ascii="Calibri" w:hAnsi="Calibri"/>
          <w:color w:val="525866"/>
          <w:sz w:val="22"/>
        </w:rPr>
        <w:t xml:space="preserve"> Analyst Michael Carroll lowered the price target by $10. </w:t>
      </w:r>
    </w:p>
    <w:p>
      <w:pPr>
        <w:pStyle w:val="ListBullet"/>
        <w:ind w:left="360" w:hanging="360"/>
      </w:pPr>
      <w:r>
        <w:rPr>
          <w:rFonts w:ascii="Calibri" w:hAnsi="Calibri"/>
          <w:i/>
          <w:color w:val="525866"/>
          <w:sz w:val="22"/>
        </w:rPr>
        <w:t>Implication:</w:t>
      </w:r>
      <w:r>
        <w:rPr>
          <w:rFonts w:ascii="Calibri" w:hAnsi="Calibri"/>
          <w:color w:val="525866"/>
          <w:sz w:val="22"/>
        </w:rPr>
        <w:t xml:space="preserve"> Reflects updated occupancy and FFO assumptions post-Q1; the $50 PT was below the stock's subsequent recovery, suggesting the market moved faster than the analyst.</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The most relevant Q2 2026 read-throughs are mixed but net-positive for ARE: KRC (Kilroy Realty) reported a meaningful pickup in life science touring activity and executed a 300 Ksf lease at Oyster Point, while BXP confirmed the broader lab market remains challenged with lackluster demand outside of premier assets. Large pharma (BIIB, REGN, ABBV, BMY) is actively increasing R&amp;D spend and pipeline investment, which is a positive structural signal for future lab demand, though near-term space decisions remain muted.</w:t>
      </w:r>
    </w:p>
    <w:p>
      <w:r>
        <w:rPr>
          <w:rFonts w:ascii="Calibri" w:hAnsi="Calibri"/>
          <w:i/>
          <w:color w:val="525866"/>
          <w:sz w:val="22"/>
        </w:rPr>
        <w:t>Note: Only Q2 2026 earnings commentary (reported in the last 60 days) is included below. Prior-quarter results commentary has been excluded.</w:t>
      </w:r>
    </w:p>
    <w:p>
      <w:pPr>
        <w:pStyle w:val="Heading3"/>
      </w:pPr>
      <w:r>
        <w:rPr>
          <w:rFonts w:ascii="Calibri" w:hAnsi="Calibri"/>
          <w:b/>
          <w:color w:val="3B4259"/>
          <w:sz w:val="24"/>
        </w:rPr>
        <w:t>7.1 Kilroy Realty (KRC) — Q2 2026 Earnings Call (July 28, 2026)</w:t>
      </w:r>
    </w:p>
    <w:p>
      <w:r>
        <w:rPr>
          <w:rFonts w:ascii="Calibri" w:hAnsi="Calibri"/>
          <w:b/>
          <w:color w:val="525866"/>
          <w:sz w:val="22"/>
        </w:rPr>
        <w:t xml:space="preserve">Relevance to ARE: </w:t>
      </w:r>
      <w:r>
        <w:rPr>
          <w:rFonts w:ascii="Calibri" w:hAnsi="Calibri"/>
          <w:color w:val="525866"/>
          <w:sz w:val="22"/>
        </w:rPr>
        <w:t>KRC is the most direct life science REIT read-through, with significant exposure to South San Francisco (Oyster Point) and San Diego — two of ARE's key markets.</w:t>
      </w:r>
    </w:p>
    <w:p>
      <w:pPr>
        <w:pStyle w:val="ListBullet"/>
        <w:ind w:left="360" w:hanging="360"/>
      </w:pPr>
      <w:r>
        <w:rPr>
          <w:rFonts w:ascii="Calibri" w:hAnsi="Calibri"/>
          <w:b/>
          <w:color w:val="525866"/>
          <w:sz w:val="22"/>
        </w:rPr>
        <w:t>Life science industry fundamentals continue to improve:</w:t>
      </w:r>
      <w:r>
        <w:rPr>
          <w:rFonts w:ascii="Calibri" w:hAnsi="Calibri"/>
          <w:color w:val="525866"/>
          <w:sz w:val="22"/>
        </w:rPr>
        <w:t xml:space="preserve"> The biotech index (XBI) is up more than 70% year-over-year. Biotech IPO and follow-on equity markets are open, and M&amp;A/licensing activity is exceptionally active, recycling capital within the ecosystem.</w:t>
      </w:r>
    </w:p>
    <w:p>
      <w:pPr>
        <w:pStyle w:val="ListBullet"/>
        <w:ind w:left="360" w:hanging="360"/>
      </w:pPr>
      <w:r>
        <w:rPr>
          <w:rFonts w:ascii="Calibri" w:hAnsi="Calibri"/>
          <w:b/>
          <w:color w:val="525866"/>
          <w:sz w:val="22"/>
        </w:rPr>
        <w:t>FDA approvals remain strong:</w:t>
      </w:r>
      <w:r>
        <w:rPr>
          <w:rFonts w:ascii="Calibri" w:hAnsi="Calibri"/>
          <w:color w:val="525866"/>
          <w:sz w:val="22"/>
        </w:rPr>
        <w:t xml:space="preserve"> Novel drug approvals are on pace with 2025 levels despite leadership and staffing transition at the agency — a more constructive read than ARE's Q1 commentary, which described the FDA as "a huge problem."</w:t>
      </w:r>
    </w:p>
    <w:p>
      <w:pPr>
        <w:pStyle w:val="ListBullet"/>
        <w:ind w:left="360" w:hanging="360"/>
      </w:pPr>
      <w:r>
        <w:rPr>
          <w:rFonts w:ascii="Calibri" w:hAnsi="Calibri"/>
          <w:b/>
          <w:color w:val="525866"/>
          <w:sz w:val="22"/>
        </w:rPr>
        <w:t>Touring activity surged dramatically:</w:t>
      </w:r>
      <w:r>
        <w:rPr>
          <w:rFonts w:ascii="Calibri" w:hAnsi="Calibri"/>
          <w:color w:val="525866"/>
          <w:sz w:val="22"/>
        </w:rPr>
        <w:t xml:space="preserve"> South San Francisco/Peninsula touring activity jumped from 317 Ksf in Q1 2026 to over 800 Ksf in Q2 2026 — the highest predictor of future LOIs and leases. KRC views this as the most encouraging sign in "quite a while."</w:t>
      </w:r>
    </w:p>
    <w:p>
      <w:pPr>
        <w:pStyle w:val="ListBullet"/>
        <w:ind w:left="360" w:hanging="360"/>
      </w:pPr>
      <w:r>
        <w:rPr>
          <w:rFonts w:ascii="Calibri" w:hAnsi="Calibri"/>
          <w:b/>
          <w:color w:val="525866"/>
          <w:sz w:val="22"/>
        </w:rPr>
        <w:t>300 Ksf lease executed at Oyster Point Phase 2:</w:t>
      </w:r>
      <w:r>
        <w:rPr>
          <w:rFonts w:ascii="Calibri" w:hAnsi="Calibri"/>
          <w:color w:val="525866"/>
          <w:sz w:val="22"/>
        </w:rPr>
        <w:t xml:space="preserve"> KRC signed a 300 Ksf lease with Olema Pharmaceuticals during Q2 — one of the largest life science deals in the market. Active interest in all remaining unleased space in the multi-tenant building.</w:t>
      </w:r>
    </w:p>
    <w:p>
      <w:pPr>
        <w:pStyle w:val="ListBullet"/>
        <w:ind w:left="360" w:hanging="360"/>
      </w:pPr>
      <w:r>
        <w:rPr>
          <w:rFonts w:ascii="Calibri" w:hAnsi="Calibri"/>
          <w:b/>
          <w:color w:val="525866"/>
          <w:sz w:val="22"/>
        </w:rPr>
        <w:t>Larger format users re-engaging:</w:t>
      </w:r>
      <w:r>
        <w:rPr>
          <w:rFonts w:ascii="Calibri" w:hAnsi="Calibri"/>
          <w:color w:val="525866"/>
          <w:sz w:val="22"/>
        </w:rPr>
        <w:t xml:space="preserve"> Eight requirements over 100 Ksf currently in the market, plus ~25 tenants in the 20–70 Ksf range. Lease execution timelines remain elongated, but the quality and volume of demand is improving.</w:t>
      </w:r>
    </w:p>
    <w:p>
      <w:pPr>
        <w:pStyle w:val="ListBullet"/>
        <w:ind w:left="360" w:hanging="360"/>
      </w:pPr>
      <w:r>
        <w:rPr>
          <w:rFonts w:ascii="Calibri" w:hAnsi="Calibri"/>
          <w:b/>
          <w:color w:val="525866"/>
          <w:sz w:val="22"/>
        </w:rPr>
        <w:t>Robotics companies emerging as alternative demand:</w:t>
      </w:r>
      <w:r>
        <w:rPr>
          <w:rFonts w:ascii="Calibri" w:hAnsi="Calibri"/>
          <w:color w:val="525866"/>
          <w:sz w:val="22"/>
        </w:rPr>
        <w:t xml:space="preserve"> Robotics companies with large requirements (&gt;100 Ksf) are increasingly active in the Peninsula/South San Francisco, potentially reducing available space for traditional life science R&amp;D — a positive supply-side dynamic for existing landlords.</w:t>
      </w:r>
    </w:p>
    <w:p>
      <w:pPr>
        <w:pStyle w:val="ListBullet"/>
        <w:ind w:left="360" w:hanging="360"/>
      </w:pPr>
      <w:r>
        <w:rPr>
          <w:rFonts w:ascii="Calibri" w:hAnsi="Calibri"/>
          <w:b/>
          <w:color w:val="525866"/>
          <w:sz w:val="22"/>
        </w:rPr>
        <w:t>Life science capital markets strengthening:</w:t>
      </w:r>
      <w:r>
        <w:rPr>
          <w:rFonts w:ascii="Calibri" w:hAnsi="Calibri"/>
          <w:color w:val="525866"/>
          <w:sz w:val="22"/>
        </w:rPr>
        <w:t xml:space="preserve"> Greater depth in buyer pools, improved leasing fundamentals, and growing confidence in financing markets. KRC is actively evaluating life science acquisition opportunities.</w:t>
      </w:r>
    </w:p>
    <w:p>
      <w:pPr>
        <w:pStyle w:val="ListBullet"/>
        <w:ind w:left="360" w:hanging="360"/>
      </w:pPr>
      <w:r>
        <w:rPr>
          <w:rFonts w:ascii="Calibri" w:hAnsi="Calibri"/>
          <w:b/>
          <w:i/>
          <w:color w:val="525866"/>
          <w:sz w:val="22"/>
        </w:rPr>
        <w:t>ARE Read-Through:</w:t>
      </w:r>
      <w:r>
        <w:rPr>
          <w:rFonts w:ascii="Calibri" w:hAnsi="Calibri"/>
          <w:i/>
          <w:color w:val="525866"/>
          <w:sz w:val="22"/>
        </w:rPr>
        <w:t xml:space="preserve"> </w:t>
      </w:r>
      <w:r>
        <w:rPr>
          <w:rFonts w:ascii="Calibri" w:hAnsi="Calibri"/>
          <w:i/>
          <w:color w:val="525866"/>
          <w:sz w:val="22"/>
        </w:rPr>
        <w:t>Net positive. The surge in touring activity and the Olema lease execution suggest Q2 2026 life science leasing was meaningfully better than Q1 in key markets. This supports ARE's guided ~900 Ksf Q2 leasing volume and the 2H occupancy recovery thesis. The FDA commentary is more constructive than ARE's Q1 tone, which could signal improving sentiment among biotech tenants.</w:t>
      </w:r>
    </w:p>
    <w:p>
      <w:pPr>
        <w:pStyle w:val="Heading3"/>
      </w:pPr>
      <w:r>
        <w:rPr>
          <w:rFonts w:ascii="Calibri" w:hAnsi="Calibri"/>
          <w:b/>
          <w:color w:val="3B4259"/>
          <w:sz w:val="24"/>
        </w:rPr>
        <w:t>7.2 BXP (Boston Properties) — Q2 2026 Earnings Call (July 29, 2026)</w:t>
      </w:r>
    </w:p>
    <w:p>
      <w:r>
        <w:rPr>
          <w:rFonts w:ascii="Calibri" w:hAnsi="Calibri"/>
          <w:b/>
          <w:color w:val="525866"/>
          <w:sz w:val="22"/>
        </w:rPr>
        <w:t xml:space="preserve">Relevance to ARE: </w:t>
      </w:r>
      <w:r>
        <w:rPr>
          <w:rFonts w:ascii="Calibri" w:hAnsi="Calibri"/>
          <w:color w:val="525866"/>
          <w:sz w:val="22"/>
        </w:rPr>
        <w:t>BXP has life science exposure in Greater Boston (Cambridge) and has been navigating the same speculative lab supply overhang as ARE.</w:t>
      </w:r>
    </w:p>
    <w:p>
      <w:pPr>
        <w:pStyle w:val="ListBullet"/>
        <w:ind w:left="360" w:hanging="360"/>
      </w:pPr>
      <w:r>
        <w:rPr>
          <w:rFonts w:ascii="Calibri" w:hAnsi="Calibri"/>
          <w:b/>
          <w:color w:val="525866"/>
          <w:sz w:val="22"/>
        </w:rPr>
        <w:t>Cambridge lab portfolio 100% leased:</w:t>
      </w:r>
      <w:r>
        <w:rPr>
          <w:rFonts w:ascii="Calibri" w:hAnsi="Calibri"/>
          <w:color w:val="525866"/>
          <w:sz w:val="22"/>
        </w:rPr>
        <w:t xml:space="preserve"> BXP's 290 Binney Street (570 Ksf, fully leased to AstraZeneca) was delivered $20M below budget and two months ahead of schedule, yielding an 8.9% unleveraged cash return. Cambridge remains a bright spot.</w:t>
      </w:r>
    </w:p>
    <w:p>
      <w:pPr>
        <w:pStyle w:val="ListBullet"/>
        <w:ind w:left="360" w:hanging="360"/>
      </w:pPr>
      <w:r>
        <w:rPr>
          <w:rFonts w:ascii="Calibri" w:hAnsi="Calibri"/>
          <w:b/>
          <w:color w:val="525866"/>
          <w:sz w:val="22"/>
        </w:rPr>
        <w:t>Broader lab market demand remains lackluster:</w:t>
      </w:r>
      <w:r>
        <w:rPr>
          <w:rFonts w:ascii="Calibri" w:hAnsi="Calibri"/>
          <w:color w:val="525866"/>
          <w:sz w:val="22"/>
        </w:rPr>
        <w:t xml:space="preserve"> BXP described "lackluster demand around the lab space market" in its urban edge portfolio. Life science capital markets are active (Boston IPOs, big pharma acquisitions), but Series B/C/D companies that move from incubators into proprietary space are "still missing in the market."</w:t>
      </w:r>
    </w:p>
    <w:p>
      <w:pPr>
        <w:pStyle w:val="ListBullet"/>
        <w:ind w:left="360" w:hanging="360"/>
      </w:pPr>
      <w:r>
        <w:rPr>
          <w:rFonts w:ascii="Calibri" w:hAnsi="Calibri"/>
          <w:b/>
          <w:color w:val="525866"/>
          <w:sz w:val="22"/>
        </w:rPr>
        <w:t>Speculative lab supply overhang is the core problem:</w:t>
      </w:r>
      <w:r>
        <w:rPr>
          <w:rFonts w:ascii="Calibri" w:hAnsi="Calibri"/>
          <w:color w:val="525866"/>
          <w:sz w:val="22"/>
        </w:rPr>
        <w:t xml:space="preserve"> BXP's President Doug Linde noted "a ton of bespoke lab-ready buildings sitting in the marketplace" built speculatively in 2022–2024 in Watertown, Waltham, Lexington, and South San Francisco. Some owners are now converting to alternative uses (e.g., clinical work for health organizations) rather than waiting for lab tenants.</w:t>
      </w:r>
    </w:p>
    <w:p>
      <w:pPr>
        <w:pStyle w:val="ListBullet"/>
        <w:ind w:left="360" w:hanging="360"/>
      </w:pPr>
      <w:r>
        <w:rPr>
          <w:rFonts w:ascii="Calibri" w:hAnsi="Calibri"/>
          <w:b/>
          <w:color w:val="525866"/>
          <w:sz w:val="22"/>
        </w:rPr>
        <w:t>AI demand is for office, not lab space:</w:t>
      </w:r>
      <w:r>
        <w:rPr>
          <w:rFonts w:ascii="Calibri" w:hAnsi="Calibri"/>
          <w:color w:val="525866"/>
          <w:sz w:val="22"/>
        </w:rPr>
        <w:t xml:space="preserve"> BXP explicitly distinguished AI tenant demand (pure office space) from life science demand (specialized lab infrastructure). BXP is not a data center company and does not see AI as a substitute for lab demand.</w:t>
      </w:r>
    </w:p>
    <w:p>
      <w:pPr>
        <w:pStyle w:val="ListBullet"/>
        <w:ind w:left="360" w:hanging="360"/>
      </w:pPr>
      <w:r>
        <w:rPr>
          <w:rFonts w:ascii="Calibri" w:hAnsi="Calibri"/>
          <w:b/>
          <w:i/>
          <w:color w:val="525866"/>
          <w:sz w:val="22"/>
        </w:rPr>
        <w:t>ARE Read-Through:</w:t>
      </w:r>
      <w:r>
        <w:rPr>
          <w:rFonts w:ascii="Calibri" w:hAnsi="Calibri"/>
          <w:i/>
          <w:color w:val="525866"/>
          <w:sz w:val="22"/>
        </w:rPr>
        <w:t xml:space="preserve"> </w:t>
      </w:r>
      <w:r>
        <w:rPr>
          <w:rFonts w:ascii="Calibri" w:hAnsi="Calibri"/>
          <w:i/>
          <w:color w:val="525866"/>
          <w:sz w:val="22"/>
        </w:rPr>
        <w:t>Mixed. The Cambridge 100% leased data point is positive for ARE's Greater Boston Megacampus assets. However, BXP's commentary on the speculative lab supply overhang in Watertown and Waltham — markets where ARE has development assets under evaluation (311 Arsenal Street, 40 Sylvan Road) — confirms the challenge of leasing non-premier space. The distinction between AI demand (office) and lab demand is relevant to ARE's advanced technology tenant strategy for certain development assets.</w:t>
      </w:r>
    </w:p>
    <w:p>
      <w:pPr>
        <w:pStyle w:val="Heading3"/>
      </w:pPr>
      <w:r>
        <w:rPr>
          <w:rFonts w:ascii="Calibri" w:hAnsi="Calibri"/>
          <w:b/>
          <w:color w:val="3B4259"/>
          <w:sz w:val="24"/>
        </w:rPr>
        <w:t>7.3 Biogen (BIIB) — Q2 2026 Earnings Release (July 29, 2026)</w:t>
      </w:r>
    </w:p>
    <w:p>
      <w:r>
        <w:rPr>
          <w:rFonts w:ascii="Calibri" w:hAnsi="Calibri"/>
          <w:b/>
          <w:color w:val="525866"/>
          <w:sz w:val="22"/>
        </w:rPr>
        <w:t xml:space="preserve">Relevance to ARE: </w:t>
      </w:r>
      <w:r>
        <w:rPr>
          <w:rFonts w:ascii="Calibri" w:hAnsi="Calibri"/>
          <w:color w:val="525866"/>
          <w:sz w:val="22"/>
        </w:rPr>
        <w:t>Biogen is a major life science tenant archetype — a large-cap biopharma with significant R&amp;D infrastructure needs. Its R&amp;D spending trajectory is a leading indicator for lab space demand.</w:t>
      </w:r>
    </w:p>
    <w:p>
      <w:pPr>
        <w:pStyle w:val="ListBullet"/>
        <w:ind w:left="360" w:hanging="360"/>
      </w:pPr>
      <w:r>
        <w:rPr>
          <w:rFonts w:ascii="Calibri" w:hAnsi="Calibri"/>
          <w:b/>
          <w:color w:val="525866"/>
          <w:sz w:val="22"/>
        </w:rPr>
        <w:t>R&amp;D spending surging:</w:t>
      </w:r>
      <w:r>
        <w:rPr>
          <w:rFonts w:ascii="Calibri" w:hAnsi="Calibri"/>
          <w:color w:val="525866"/>
          <w:sz w:val="22"/>
        </w:rPr>
        <w:t xml:space="preserve"> GAAP R&amp;D expense of $530M in Q2 2026, up 33% YoY from $399M. Non-GAAP R&amp;D of $490M, up 24% YoY. Full-year 2026 combined Non-GAAP R&amp;D + SG&amp;A guided to $2.65–$2.70B for 2H 2026.</w:t>
      </w:r>
    </w:p>
    <w:p>
      <w:pPr>
        <w:pStyle w:val="ListBullet"/>
        <w:ind w:left="360" w:hanging="360"/>
      </w:pPr>
      <w:r>
        <w:rPr>
          <w:rFonts w:ascii="Calibri" w:hAnsi="Calibri"/>
          <w:b/>
          <w:color w:val="525866"/>
          <w:sz w:val="22"/>
        </w:rPr>
        <w:t>Active pipeline investment:</w:t>
      </w:r>
      <w:r>
        <w:rPr>
          <w:rFonts w:ascii="Calibri" w:hAnsi="Calibri"/>
          <w:color w:val="525866"/>
          <w:sz w:val="22"/>
        </w:rPr>
        <w:t xml:space="preserve"> Five registrational readouts expected over the next four quarters. Biogen exercised its option on BIIB147 (ALS program) and completed the Apellis acquisition, adding SYFOVRE and EMPAVELI. Pending RayThera acquisition adds multiple immunology programs.</w:t>
      </w:r>
    </w:p>
    <w:p>
      <w:pPr>
        <w:pStyle w:val="ListBullet"/>
        <w:ind w:left="360" w:hanging="360"/>
      </w:pPr>
      <w:r>
        <w:rPr>
          <w:rFonts w:ascii="Calibri" w:hAnsi="Calibri"/>
          <w:b/>
          <w:color w:val="525866"/>
          <w:sz w:val="22"/>
        </w:rPr>
        <w:t>Capital expenditures increasing:</w:t>
      </w:r>
      <w:r>
        <w:rPr>
          <w:rFonts w:ascii="Calibri" w:hAnsi="Calibri"/>
          <w:color w:val="525866"/>
          <w:sz w:val="22"/>
        </w:rPr>
        <w:t xml:space="preserve"> CapEx of ~$41M in Q2 2026 (vs. $26.6M in Q2 2025), with YTD CapEx of $92.1M (vs. $63.7M in 2025). Net PP&amp;E of $2.99B as of June 30, 2026.</w:t>
      </w:r>
    </w:p>
    <w:p>
      <w:pPr>
        <w:pStyle w:val="ListBullet"/>
        <w:ind w:left="360" w:hanging="360"/>
      </w:pPr>
      <w:r>
        <w:rPr>
          <w:rFonts w:ascii="Calibri" w:hAnsi="Calibri"/>
          <w:b/>
          <w:i/>
          <w:color w:val="525866"/>
          <w:sz w:val="22"/>
        </w:rPr>
        <w:t>ARE Read-Through:</w:t>
      </w:r>
      <w:r>
        <w:rPr>
          <w:rFonts w:ascii="Calibri" w:hAnsi="Calibri"/>
          <w:i/>
          <w:color w:val="525866"/>
          <w:sz w:val="22"/>
        </w:rPr>
        <w:t xml:space="preserve"> </w:t>
      </w:r>
      <w:r>
        <w:rPr>
          <w:rFonts w:ascii="Calibri" w:hAnsi="Calibri"/>
          <w:i/>
          <w:color w:val="525866"/>
          <w:sz w:val="22"/>
        </w:rPr>
        <w:t>Modestly positive. Biogen's accelerating R&amp;D spend and active pipeline investment signal that large-cap biopharma is not retrenching — a positive for long-term lab demand. However, there is no specific mention of lab space expansion or contraction, and the Apellis integration may consolidate rather than expand footprint near-term.</w:t>
      </w:r>
    </w:p>
    <w:p>
      <w:pPr>
        <w:pStyle w:val="ListBullet"/>
        <w:ind w:left="360" w:hanging="360"/>
      </w:pPr>
      <w:r>
        <w:rPr>
          <w:rFonts w:ascii="Calibri" w:hAnsi="Calibri"/>
          <w:b/>
          <w:color w:val="525866"/>
          <w:sz w:val="22"/>
        </w:rPr>
        <w:t>Caveat:</w:t>
      </w:r>
      <w:r>
        <w:rPr>
          <w:rFonts w:ascii="Calibri" w:hAnsi="Calibri"/>
          <w:color w:val="525866"/>
          <w:sz w:val="22"/>
        </w:rPr>
        <w:t xml:space="preserve"> Biogen's R&amp;D spend increase is driven by clinical trial costs and acquisitions, not necessarily physical lab space expansion. The read-through to ARE's occupancy is indirect.</w:t>
      </w:r>
    </w:p>
    <w:p>
      <w:pPr>
        <w:pStyle w:val="Heading3"/>
      </w:pPr>
      <w:r>
        <w:rPr>
          <w:rFonts w:ascii="Calibri" w:hAnsi="Calibri"/>
          <w:b/>
          <w:color w:val="3B4259"/>
          <w:sz w:val="24"/>
        </w:rPr>
        <w:t>7.4 Regeneron (REGN) — Q2 2026 Earnings Call (July 30, 2026)</w:t>
      </w:r>
    </w:p>
    <w:p>
      <w:r>
        <w:rPr>
          <w:rFonts w:ascii="Calibri" w:hAnsi="Calibri"/>
          <w:b/>
          <w:color w:val="525866"/>
          <w:sz w:val="22"/>
        </w:rPr>
        <w:t xml:space="preserve">Relevance to ARE: </w:t>
      </w:r>
      <w:r>
        <w:rPr>
          <w:rFonts w:ascii="Calibri" w:hAnsi="Calibri"/>
          <w:color w:val="525866"/>
          <w:sz w:val="22"/>
        </w:rPr>
        <w:t>Regeneron is one of the largest and most productive biopharma R&amp;D organizations, with ~50 active clinical programs. Its capital allocation and infrastructure decisions are a bellwether for the sector.</w:t>
      </w:r>
    </w:p>
    <w:p>
      <w:pPr>
        <w:pStyle w:val="ListBullet"/>
        <w:ind w:left="360" w:hanging="360"/>
      </w:pPr>
      <w:r>
        <w:rPr>
          <w:rFonts w:ascii="Calibri" w:hAnsi="Calibri"/>
          <w:b/>
          <w:color w:val="525866"/>
          <w:sz w:val="22"/>
        </w:rPr>
        <w:t>R&amp;D expense of $1.5B in Q2:</w:t>
      </w:r>
      <w:r>
        <w:rPr>
          <w:rFonts w:ascii="Calibri" w:hAnsi="Calibri"/>
          <w:color w:val="525866"/>
          <w:sz w:val="22"/>
        </w:rPr>
        <w:t xml:space="preserve"> Reflecting continued investment across ~50 active clinical programs and numerous preclinical candidates. Management described this as "one of the largest R&amp;D portfolios in the entire industry."</w:t>
      </w:r>
    </w:p>
    <w:p>
      <w:pPr>
        <w:pStyle w:val="ListBullet"/>
        <w:ind w:left="360" w:hanging="360"/>
      </w:pPr>
      <w:r>
        <w:rPr>
          <w:rFonts w:ascii="Calibri" w:hAnsi="Calibri"/>
          <w:b/>
          <w:color w:val="525866"/>
          <w:sz w:val="22"/>
        </w:rPr>
        <w:t>Internal R&amp;D prioritized over external BD:</w:t>
      </w:r>
      <w:r>
        <w:rPr>
          <w:rFonts w:ascii="Calibri" w:hAnsi="Calibri"/>
          <w:color w:val="525866"/>
          <w:sz w:val="22"/>
        </w:rPr>
        <w:t xml:space="preserve"> Regeneron tilts toward internal R&amp;D as the highest-return opportunity, while remaining active in evaluating external BD. Broad pipeline across oncology, ophthalmology, immunology, rare disease, obesity, and NASH.</w:t>
      </w:r>
    </w:p>
    <w:p>
      <w:pPr>
        <w:pStyle w:val="ListBullet"/>
        <w:ind w:left="360" w:hanging="360"/>
      </w:pPr>
      <w:r>
        <w:rPr>
          <w:rFonts w:ascii="Calibri" w:hAnsi="Calibri"/>
          <w:b/>
          <w:color w:val="525866"/>
          <w:sz w:val="22"/>
        </w:rPr>
        <w:t>Manufacturing disruption at Limerick, Ireland:</w:t>
      </w:r>
      <w:r>
        <w:rPr>
          <w:rFonts w:ascii="Calibri" w:hAnsi="Calibri"/>
          <w:color w:val="525866"/>
          <w:sz w:val="22"/>
        </w:rPr>
        <w:t xml:space="preserve"> Temporary interruption in bulk manufacturing production negatively impacted GAAP gross margin; production resumed to normal levels by end of Q2. No other facility changes mentioned.</w:t>
      </w:r>
    </w:p>
    <w:p>
      <w:pPr>
        <w:pStyle w:val="ListBullet"/>
        <w:ind w:left="360" w:hanging="360"/>
      </w:pPr>
      <w:r>
        <w:rPr>
          <w:rFonts w:ascii="Calibri" w:hAnsi="Calibri"/>
          <w:b/>
          <w:i/>
          <w:color w:val="525866"/>
          <w:sz w:val="22"/>
        </w:rPr>
        <w:t>ARE Read-Through:</w:t>
      </w:r>
      <w:r>
        <w:rPr>
          <w:rFonts w:ascii="Calibri" w:hAnsi="Calibri"/>
          <w:i/>
          <w:color w:val="525866"/>
          <w:sz w:val="22"/>
        </w:rPr>
        <w:t xml:space="preserve"> </w:t>
      </w:r>
      <w:r>
        <w:rPr>
          <w:rFonts w:ascii="Calibri" w:hAnsi="Calibri"/>
          <w:i/>
          <w:color w:val="525866"/>
          <w:sz w:val="22"/>
        </w:rPr>
        <w:t>Neutral. Regeneron's sustained high R&amp;D investment is a positive structural signal for life science real estate demand, but there is no specific commentary on lab space needs or facility changes. The company's focus on internal R&amp;D and manufacturing (vs. outsourcing) suggests stable-to-growing physical infrastructure requirements.</w:t>
      </w:r>
    </w:p>
    <w:p>
      <w:pPr>
        <w:pStyle w:val="Heading3"/>
      </w:pPr>
      <w:r>
        <w:rPr>
          <w:rFonts w:ascii="Calibri" w:hAnsi="Calibri"/>
          <w:b/>
          <w:color w:val="3B4259"/>
          <w:sz w:val="24"/>
        </w:rPr>
        <w:t>7.5 AbbVie (ABBV) — Q2 2026 Earnings Call (July 31, 2026)</w:t>
      </w:r>
    </w:p>
    <w:p>
      <w:r>
        <w:rPr>
          <w:rFonts w:ascii="Calibri" w:hAnsi="Calibri"/>
          <w:b/>
          <w:color w:val="525866"/>
          <w:sz w:val="22"/>
        </w:rPr>
        <w:t xml:space="preserve">Relevance to ARE: </w:t>
      </w:r>
      <w:r>
        <w:rPr>
          <w:rFonts w:ascii="Calibri" w:hAnsi="Calibri"/>
          <w:color w:val="525866"/>
          <w:sz w:val="22"/>
        </w:rPr>
        <w:t>AbbVie is one of the largest global biopharma companies by R&amp;D spend, with a broad pipeline across immunology, neuroscience, and oncology. Its R&amp;D investment trajectory signals sector-wide demand.</w:t>
      </w:r>
    </w:p>
    <w:p>
      <w:pPr>
        <w:pStyle w:val="ListBullet"/>
        <w:ind w:left="360" w:hanging="360"/>
      </w:pPr>
      <w:r>
        <w:rPr>
          <w:rFonts w:ascii="Calibri" w:hAnsi="Calibri"/>
          <w:b/>
          <w:color w:val="525866"/>
          <w:sz w:val="22"/>
        </w:rPr>
        <w:t>R&amp;D expense raised to ~$9.8B for FY 2026:</w:t>
      </w:r>
      <w:r>
        <w:rPr>
          <w:rFonts w:ascii="Calibri" w:hAnsi="Calibri"/>
          <w:color w:val="525866"/>
          <w:sz w:val="22"/>
        </w:rPr>
        <w:t xml:space="preserve"> An increase of $100M, reflecting Apigee-related pipeline investments. Adjusted R&amp;D was 13.6% of sales in Q2. AbbVie maintains "substantial financial flexibility" for additional BD.</w:t>
      </w:r>
    </w:p>
    <w:p>
      <w:pPr>
        <w:pStyle w:val="ListBullet"/>
        <w:ind w:left="360" w:hanging="360"/>
      </w:pPr>
      <w:r>
        <w:rPr>
          <w:rFonts w:ascii="Calibri" w:hAnsi="Calibri"/>
          <w:b/>
          <w:color w:val="525866"/>
          <w:sz w:val="22"/>
        </w:rPr>
        <w:t>Planned acquisition of Apigee Therapeutics:</w:t>
      </w:r>
      <w:r>
        <w:rPr>
          <w:rFonts w:ascii="Calibri" w:hAnsi="Calibri"/>
          <w:color w:val="525866"/>
          <w:sz w:val="22"/>
        </w:rPr>
        <w:t xml:space="preserve"> Adds a portfolio of long-acting biologics in dermatology, respiratory, and immune-mediated diseases. Multiple early-stage programs advanced into the clinic across immunology, neuroscience, and oncology.</w:t>
      </w:r>
    </w:p>
    <w:p>
      <w:pPr>
        <w:pStyle w:val="ListBullet"/>
        <w:ind w:left="360" w:hanging="360"/>
      </w:pPr>
      <w:r>
        <w:rPr>
          <w:rFonts w:ascii="Calibri" w:hAnsi="Calibri"/>
          <w:b/>
          <w:color w:val="525866"/>
          <w:sz w:val="22"/>
        </w:rPr>
        <w:t>Three ADCs already on market:</w:t>
      </w:r>
      <w:r>
        <w:rPr>
          <w:rFonts w:ascii="Calibri" w:hAnsi="Calibri"/>
          <w:color w:val="525866"/>
          <w:sz w:val="22"/>
        </w:rPr>
        <w:t xml:space="preserve"> Elahere, Amaryllis, and a third ADC. Multiple Phase 3 programs advancing in oncology (colorectal, multiple myeloma, amyloidosis, prostate cancer).</w:t>
      </w:r>
    </w:p>
    <w:p>
      <w:pPr>
        <w:pStyle w:val="ListBullet"/>
        <w:ind w:left="360" w:hanging="360"/>
      </w:pPr>
      <w:r>
        <w:rPr>
          <w:rFonts w:ascii="Calibri" w:hAnsi="Calibri"/>
          <w:b/>
          <w:i/>
          <w:color w:val="525866"/>
          <w:sz w:val="22"/>
        </w:rPr>
        <w:t>ARE Read-Through:</w:t>
      </w:r>
      <w:r>
        <w:rPr>
          <w:rFonts w:ascii="Calibri" w:hAnsi="Calibri"/>
          <w:i/>
          <w:color w:val="525866"/>
          <w:sz w:val="22"/>
        </w:rPr>
        <w:t xml:space="preserve"> </w:t>
      </w:r>
      <w:r>
        <w:rPr>
          <w:rFonts w:ascii="Calibri" w:hAnsi="Calibri"/>
          <w:i/>
          <w:color w:val="525866"/>
          <w:sz w:val="22"/>
        </w:rPr>
        <w:t>Modestly positive. AbbVie's increasing R&amp;D spend and active pipeline expansion (including the Apigee acquisition) signal continued investment in physical R&amp;D infrastructure. However, like BIIB and REGN, there is no specific commentary on lab space needs. The broader message is that large-cap pharma is not cutting R&amp;D — a positive for long-term life science real estate demand.</w:t>
      </w:r>
    </w:p>
    <w:p>
      <w:pPr>
        <w:pStyle w:val="Heading3"/>
      </w:pPr>
      <w:r>
        <w:rPr>
          <w:rFonts w:ascii="Calibri" w:hAnsi="Calibri"/>
          <w:b/>
          <w:color w:val="3B4259"/>
          <w:sz w:val="24"/>
        </w:rPr>
        <w:t>7.6 Bristol Myers Squibb (BMY) — Q2 2026 Earnings Call (July 30, 2026)</w:t>
      </w:r>
    </w:p>
    <w:p>
      <w:r>
        <w:rPr>
          <w:rFonts w:ascii="Calibri" w:hAnsi="Calibri"/>
          <w:b/>
          <w:color w:val="525866"/>
          <w:sz w:val="22"/>
        </w:rPr>
        <w:t xml:space="preserve">Relevance to ARE: </w:t>
      </w:r>
      <w:r>
        <w:rPr>
          <w:rFonts w:ascii="Calibri" w:hAnsi="Calibri"/>
          <w:color w:val="525866"/>
          <w:sz w:val="22"/>
        </w:rPr>
        <w:t>BMY is a major biopharma with significant R&amp;D operations. Its AI integration strategy and R&amp;D infrastructure evolution are relevant to ARE's thesis on AI's impact on lab space demand.</w:t>
      </w:r>
    </w:p>
    <w:p>
      <w:pPr>
        <w:pStyle w:val="ListBullet"/>
        <w:ind w:left="360" w:hanging="360"/>
      </w:pPr>
      <w:r>
        <w:rPr>
          <w:rFonts w:ascii="Calibri" w:hAnsi="Calibri"/>
          <w:b/>
          <w:color w:val="525866"/>
          <w:sz w:val="22"/>
        </w:rPr>
        <w:t>AI embedded across R&amp;D and enterprise operations:</w:t>
      </w:r>
      <w:r>
        <w:rPr>
          <w:rFonts w:ascii="Calibri" w:hAnsi="Calibri"/>
          <w:color w:val="525866"/>
          <w:sz w:val="22"/>
        </w:rPr>
        <w:t xml:space="preserve"> BMS has embedded AI across research and enterprise operations, with demand for compute growing alongside AI capabilities. Recently announced partnership agreements with Anthropic and Nvidia to help scientists understand disease biology, design molecules faster, and make better program decisions.</w:t>
      </w:r>
    </w:p>
    <w:p>
      <w:pPr>
        <w:pStyle w:val="ListBullet"/>
        <w:ind w:left="360" w:hanging="360"/>
      </w:pPr>
      <w:r>
        <w:rPr>
          <w:rFonts w:ascii="Calibri" w:hAnsi="Calibri"/>
          <w:b/>
          <w:color w:val="525866"/>
          <w:sz w:val="22"/>
        </w:rPr>
        <w:t>R&amp;D spending slightly increased:</w:t>
      </w:r>
      <w:r>
        <w:rPr>
          <w:rFonts w:ascii="Calibri" w:hAnsi="Calibri"/>
          <w:color w:val="525866"/>
          <w:sz w:val="22"/>
        </w:rPr>
        <w:t xml:space="preserve"> Projected operating expenses raised to account for accelerated prelaunch activities (cell mods, Iberdomide, Mezigdomide) and expanding development programs. "Disciplined investment" in growth-oriented initiatives.</w:t>
      </w:r>
    </w:p>
    <w:p>
      <w:pPr>
        <w:pStyle w:val="ListBullet"/>
        <w:ind w:left="360" w:hanging="360"/>
      </w:pPr>
      <w:r>
        <w:rPr>
          <w:rFonts w:ascii="Calibri" w:hAnsi="Calibri"/>
          <w:b/>
          <w:color w:val="525866"/>
          <w:sz w:val="22"/>
        </w:rPr>
        <w:t>Organizational evolution toward agility:</w:t>
      </w:r>
      <w:r>
        <w:rPr>
          <w:rFonts w:ascii="Calibri" w:hAnsi="Calibri"/>
          <w:color w:val="525866"/>
          <w:sz w:val="22"/>
        </w:rPr>
        <w:t xml:space="preserve"> BMS is "rewiring" into a more agile, focused, and efficient organization. No specific mention of lab space expansion or contraction.</w:t>
      </w:r>
    </w:p>
    <w:p>
      <w:pPr>
        <w:pStyle w:val="ListBullet"/>
        <w:ind w:left="360" w:hanging="360"/>
      </w:pPr>
      <w:r>
        <w:rPr>
          <w:rFonts w:ascii="Calibri" w:hAnsi="Calibri"/>
          <w:b/>
          <w:i/>
          <w:color w:val="525866"/>
          <w:sz w:val="22"/>
        </w:rPr>
        <w:t>ARE Read-Through:</w:t>
      </w:r>
      <w:r>
        <w:rPr>
          <w:rFonts w:ascii="Calibri" w:hAnsi="Calibri"/>
          <w:i/>
          <w:color w:val="525866"/>
          <w:sz w:val="22"/>
        </w:rPr>
        <w:t xml:space="preserve"> </w:t>
      </w:r>
      <w:r>
        <w:rPr>
          <w:rFonts w:ascii="Calibri" w:hAnsi="Calibri"/>
          <w:i/>
          <w:color w:val="525866"/>
          <w:sz w:val="22"/>
        </w:rPr>
        <w:t>Neutral-to-positive. BMY's AI integration (Anthropic, Nvidia partnerships) is consistent with ARE management's Q1 commentary that AI is "aimed at compressing timelines and increasing throughput" rather than replacing physical lab space. BMS's own view that AI increases compute demand (not lab space reduction) aligns with ARE's thesis that AI will have a small impact on real estate requirements and could even increase dry/wet lab needs.</w:t>
      </w:r>
    </w:p>
    <w:p>
      <w:pPr>
        <w:pStyle w:val="Heading3"/>
      </w:pPr>
      <w:r>
        <w:rPr>
          <w:rFonts w:ascii="Calibri" w:hAnsi="Calibri"/>
          <w:b/>
          <w:color w:val="3B4259"/>
          <w:sz w:val="24"/>
        </w:rPr>
        <w:t>7.7 JLL 2026 U.S. Lab Property Report (June 9, 2026)</w:t>
      </w:r>
    </w:p>
    <w:p>
      <w:r>
        <w:rPr>
          <w:rFonts w:ascii="Calibri" w:hAnsi="Calibri"/>
          <w:b/>
          <w:color w:val="525866"/>
          <w:sz w:val="22"/>
        </w:rPr>
        <w:t xml:space="preserve">Relevance to ARE: </w:t>
      </w:r>
      <w:r>
        <w:rPr>
          <w:rFonts w:ascii="Calibri" w:hAnsi="Calibri"/>
          <w:color w:val="525866"/>
          <w:sz w:val="22"/>
        </w:rPr>
        <w:t>JLL's annual lab property report is the most comprehensive third-party assessment of the life science real estate market and directly informs ARE's occupancy and leasing outlook.</w:t>
      </w:r>
    </w:p>
    <w:p>
      <w:pPr>
        <w:pStyle w:val="ListBullet"/>
        <w:ind w:left="360" w:hanging="360"/>
      </w:pPr>
      <w:r>
        <w:rPr>
          <w:rFonts w:ascii="Calibri" w:hAnsi="Calibri"/>
          <w:b/>
          <w:color w:val="525866"/>
          <w:sz w:val="22"/>
        </w:rPr>
        <w:t>Lab availability contracting for first time in years:</w:t>
      </w:r>
      <w:r>
        <w:rPr>
          <w:rFonts w:ascii="Calibri" w:hAnsi="Calibri"/>
          <w:color w:val="525866"/>
          <w:sz w:val="22"/>
        </w:rPr>
        <w:t xml:space="preserve"> Lab availability dropped ~2M sq ft since mid-2025, including the largest quarterly decline in a decade. JLL concludes the market has "bottomed out and begun its recovery."</w:t>
      </w:r>
    </w:p>
    <w:p>
      <w:pPr>
        <w:pStyle w:val="ListBullet"/>
        <w:ind w:left="360" w:hanging="360"/>
      </w:pPr>
      <w:r>
        <w:rPr>
          <w:rFonts w:ascii="Calibri" w:hAnsi="Calibri"/>
          <w:b/>
          <w:color w:val="525866"/>
          <w:sz w:val="22"/>
        </w:rPr>
        <w:t>Top-tier market demand surging:</w:t>
      </w:r>
      <w:r>
        <w:rPr>
          <w:rFonts w:ascii="Calibri" w:hAnsi="Calibri"/>
          <w:color w:val="525866"/>
          <w:sz w:val="22"/>
        </w:rPr>
        <w:t xml:space="preserve"> Boston, Bay Area, San Diego, and Raleigh-Durham saw combined demand surge 44% YoY to ~8M sq ft in Q1 2026, driven by improved biotech funding and biomanufacturing reshoring. The top three markets have established a new leasing baseline 35% above pre-pandemic levels.</w:t>
      </w:r>
    </w:p>
    <w:p>
      <w:pPr>
        <w:pStyle w:val="ListBullet"/>
        <w:ind w:left="360" w:hanging="360"/>
      </w:pPr>
      <w:r>
        <w:rPr>
          <w:rFonts w:ascii="Calibri" w:hAnsi="Calibri"/>
          <w:b/>
          <w:color w:val="525866"/>
          <w:sz w:val="22"/>
        </w:rPr>
        <w:t>Secondary markets continue to weaken:</w:t>
      </w:r>
      <w:r>
        <w:rPr>
          <w:rFonts w:ascii="Calibri" w:hAnsi="Calibri"/>
          <w:color w:val="525866"/>
          <w:sz w:val="22"/>
        </w:rPr>
        <w:t xml:space="preserve"> Demand in secondary markets has fallen ~3M sq ft over three years while available space increased 4.4M sq ft — a stark divide that validates ARE's Megacampus focus on AAA innovation clusters.</w:t>
      </w:r>
    </w:p>
    <w:p>
      <w:pPr>
        <w:pStyle w:val="ListBullet"/>
        <w:ind w:left="360" w:hanging="360"/>
      </w:pPr>
      <w:r>
        <w:rPr>
          <w:rFonts w:ascii="Calibri" w:hAnsi="Calibri"/>
          <w:b/>
          <w:color w:val="525866"/>
          <w:sz w:val="22"/>
        </w:rPr>
        <w:t>Supply-to-demand ratio near 6:1 nationally:</w:t>
      </w:r>
      <w:r>
        <w:rPr>
          <w:rFonts w:ascii="Calibri" w:hAnsi="Calibri"/>
          <w:color w:val="525866"/>
          <w:sz w:val="22"/>
        </w:rPr>
        <w:t xml:space="preserve"> Despite the recovery, the U.S. lab market (&gt;200M sq ft) faces a 6:1 supply-to-demand ratio, ensuring rental rate pressure through end of decade. Average asking rents have fallen below $80/sq ft for the first time since 2022.</w:t>
      </w:r>
    </w:p>
    <w:p>
      <w:pPr>
        <w:pStyle w:val="ListBullet"/>
        <w:ind w:left="360" w:hanging="360"/>
      </w:pPr>
      <w:r>
        <w:rPr>
          <w:rFonts w:ascii="Calibri" w:hAnsi="Calibri"/>
          <w:b/>
          <w:color w:val="525866"/>
          <w:sz w:val="22"/>
        </w:rPr>
        <w:t>Flight-to-quality accelerating:</w:t>
      </w:r>
      <w:r>
        <w:rPr>
          <w:rFonts w:ascii="Calibri" w:hAnsi="Calibri"/>
          <w:color w:val="525866"/>
          <w:sz w:val="22"/>
        </w:rPr>
        <w:t xml:space="preserve"> Tenants are aggressively trading up to newer, higher-quality buildings while older assets face mounting headwinds — directly supportive of ARE's Class A+ Megacampus positioning.</w:t>
      </w:r>
    </w:p>
    <w:p>
      <w:pPr>
        <w:pStyle w:val="ListBullet"/>
        <w:ind w:left="360" w:hanging="360"/>
      </w:pPr>
      <w:r>
        <w:rPr>
          <w:rFonts w:ascii="Calibri" w:hAnsi="Calibri"/>
          <w:b/>
          <w:i/>
          <w:color w:val="525866"/>
          <w:sz w:val="22"/>
        </w:rPr>
        <w:t>ARE Read-Through:</w:t>
      </w:r>
      <w:r>
        <w:rPr>
          <w:rFonts w:ascii="Calibri" w:hAnsi="Calibri"/>
          <w:i/>
          <w:color w:val="525866"/>
          <w:sz w:val="22"/>
        </w:rPr>
        <w:t xml:space="preserve"> </w:t>
      </w:r>
      <w:r>
        <w:rPr>
          <w:rFonts w:ascii="Calibri" w:hAnsi="Calibri"/>
          <w:i/>
          <w:color w:val="525866"/>
          <w:sz w:val="22"/>
        </w:rPr>
        <w:t>Net positive for ARE's core thesis. The market bottom call, top-tier market demand surge, and flight-to-quality trend all support ARE's Megacampus outperformance narrative. However, the 6:1 supply-to-demand ratio and rental rate pressure through end of decade confirm that the recovery will be gradual and uneven — consistent with management's two-to-three year recovery window guidance.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most notable signal is Executive Chairman Joel Marcus's purchase of 25,000 shares across three days in early May (May 4–6, 2026) at prices near the post-Q1 lows — a meaningful open-market buy from the company's founder and largest individual insider. CTO Gregory Thomas also made a small open-market purchase. CEO Peter Moglia's transactions are routine tax-withholding events (code F), not discretionary sales. CFO Marc Binda's 10b5-1 planned sale is pre-scheduled and not a discretionary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 (Transaction)</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Joel S. Marcus</w:t>
            </w:r>
          </w:p>
        </w:tc>
        <w:tc>
          <w:tcPr>
            <w:tcW w:type="dxa" w:w="1440"/>
          </w:tcPr>
          <w:p>
            <w:r>
              <w:rPr>
                <w:rFonts w:ascii="Calibri" w:hAnsi="Calibri"/>
                <w:sz w:val="22"/>
              </w:rPr>
              <w:t>Executive Chairman &amp; Director</w:t>
            </w:r>
          </w:p>
        </w:tc>
        <w:tc>
          <w:tcPr>
            <w:tcW w:type="dxa" w:w="1440"/>
          </w:tcPr>
          <w:p>
            <w:r>
              <w:rPr>
                <w:rFonts w:ascii="Calibri" w:hAnsi="Calibri"/>
                <w:b/>
                <w:color w:val="30A46C"/>
                <w:sz w:val="22"/>
              </w:rPr>
              <w:t>Open Market Buy</w:t>
            </w:r>
          </w:p>
        </w:tc>
        <w:tc>
          <w:tcPr>
            <w:tcW w:type="dxa" w:w="1440"/>
          </w:tcPr>
          <w:p>
            <w:r>
              <w:rPr>
                <w:rFonts w:ascii="Calibri" w:hAnsi="Calibri"/>
                <w:sz w:val="22"/>
              </w:rPr>
              <w:t>10,000 shares</w:t>
            </w:r>
          </w:p>
        </w:tc>
        <w:tc>
          <w:tcPr>
            <w:tcW w:type="dxa" w:w="1440"/>
          </w:tcPr>
          <w:p>
            <w:r>
              <w:rPr>
                <w:rFonts w:ascii="Calibri" w:hAnsi="Calibri"/>
                <w:sz w:val="22"/>
              </w:rPr>
              <w:t>May 4, 2026</w:t>
            </w:r>
          </w:p>
        </w:tc>
        <w:tc>
          <w:tcPr>
            <w:tcW w:type="dxa" w:w="1440"/>
          </w:tcPr>
          <w:p>
            <w:r>
              <w:rPr>
                <w:rFonts w:ascii="Calibri" w:hAnsi="Calibri"/>
                <w:sz w:val="22"/>
              </w:rPr>
              <w:t>Discretionary purchase near post-Q1 lows; founder/largest individual insider; bullish signal</w:t>
            </w:r>
          </w:p>
        </w:tc>
      </w:tr>
      <w:tr>
        <w:tc>
          <w:tcPr>
            <w:tcW w:type="dxa" w:w="1440"/>
          </w:tcPr>
          <w:p>
            <w:r>
              <w:rPr>
                <w:rFonts w:ascii="Calibri" w:hAnsi="Calibri"/>
                <w:sz w:val="22"/>
              </w:rPr>
              <w:t>Joel S. Marcus</w:t>
            </w:r>
          </w:p>
        </w:tc>
        <w:tc>
          <w:tcPr>
            <w:tcW w:type="dxa" w:w="1440"/>
          </w:tcPr>
          <w:p>
            <w:r>
              <w:rPr>
                <w:rFonts w:ascii="Calibri" w:hAnsi="Calibri"/>
                <w:sz w:val="22"/>
              </w:rPr>
              <w:t>Executive Chairman &amp; Director</w:t>
            </w:r>
          </w:p>
        </w:tc>
        <w:tc>
          <w:tcPr>
            <w:tcW w:type="dxa" w:w="1440"/>
          </w:tcPr>
          <w:p>
            <w:r>
              <w:rPr>
                <w:rFonts w:ascii="Calibri" w:hAnsi="Calibri"/>
                <w:b/>
                <w:color w:val="30A46C"/>
                <w:sz w:val="22"/>
              </w:rPr>
              <w:t>Open Market Buy</w:t>
            </w:r>
          </w:p>
        </w:tc>
        <w:tc>
          <w:tcPr>
            <w:tcW w:type="dxa" w:w="1440"/>
          </w:tcPr>
          <w:p>
            <w:r>
              <w:rPr>
                <w:rFonts w:ascii="Calibri" w:hAnsi="Calibri"/>
                <w:sz w:val="22"/>
              </w:rPr>
              <w:t>7,500 shares</w:t>
            </w:r>
          </w:p>
        </w:tc>
        <w:tc>
          <w:tcPr>
            <w:tcW w:type="dxa" w:w="1440"/>
          </w:tcPr>
          <w:p>
            <w:r>
              <w:rPr>
                <w:rFonts w:ascii="Calibri" w:hAnsi="Calibri"/>
                <w:sz w:val="22"/>
              </w:rPr>
              <w:t>May 5, 2026</w:t>
            </w:r>
          </w:p>
        </w:tc>
        <w:tc>
          <w:tcPr>
            <w:tcW w:type="dxa" w:w="1440"/>
          </w:tcPr>
          <w:p>
            <w:r>
              <w:rPr>
                <w:rFonts w:ascii="Calibri" w:hAnsi="Calibri"/>
                <w:sz w:val="22"/>
              </w:rPr>
              <w:t>Second consecutive day of open-market buying; total 3-day purchase: 25,000 shares</w:t>
            </w:r>
          </w:p>
        </w:tc>
      </w:tr>
      <w:tr>
        <w:tc>
          <w:tcPr>
            <w:tcW w:type="dxa" w:w="1440"/>
          </w:tcPr>
          <w:p>
            <w:r>
              <w:rPr>
                <w:rFonts w:ascii="Calibri" w:hAnsi="Calibri"/>
                <w:sz w:val="22"/>
              </w:rPr>
              <w:t>Joel S. Marcus</w:t>
            </w:r>
          </w:p>
        </w:tc>
        <w:tc>
          <w:tcPr>
            <w:tcW w:type="dxa" w:w="1440"/>
          </w:tcPr>
          <w:p>
            <w:r>
              <w:rPr>
                <w:rFonts w:ascii="Calibri" w:hAnsi="Calibri"/>
                <w:sz w:val="22"/>
              </w:rPr>
              <w:t>Executive Chairman &amp; Director</w:t>
            </w:r>
          </w:p>
        </w:tc>
        <w:tc>
          <w:tcPr>
            <w:tcW w:type="dxa" w:w="1440"/>
          </w:tcPr>
          <w:p>
            <w:r>
              <w:rPr>
                <w:rFonts w:ascii="Calibri" w:hAnsi="Calibri"/>
                <w:b/>
                <w:color w:val="30A46C"/>
                <w:sz w:val="22"/>
              </w:rPr>
              <w:t>Open Market Buy</w:t>
            </w:r>
          </w:p>
        </w:tc>
        <w:tc>
          <w:tcPr>
            <w:tcW w:type="dxa" w:w="1440"/>
          </w:tcPr>
          <w:p>
            <w:r>
              <w:rPr>
                <w:rFonts w:ascii="Calibri" w:hAnsi="Calibri"/>
                <w:sz w:val="22"/>
              </w:rPr>
              <w:t>7,500 shares</w:t>
            </w:r>
          </w:p>
        </w:tc>
        <w:tc>
          <w:tcPr>
            <w:tcW w:type="dxa" w:w="1440"/>
          </w:tcPr>
          <w:p>
            <w:r>
              <w:rPr>
                <w:rFonts w:ascii="Calibri" w:hAnsi="Calibri"/>
                <w:sz w:val="22"/>
              </w:rPr>
              <w:t>May 6, 2026</w:t>
            </w:r>
          </w:p>
        </w:tc>
        <w:tc>
          <w:tcPr>
            <w:tcW w:type="dxa" w:w="1440"/>
          </w:tcPr>
          <w:p>
            <w:r>
              <w:rPr>
                <w:rFonts w:ascii="Calibri" w:hAnsi="Calibri"/>
                <w:sz w:val="22"/>
              </w:rPr>
              <w:t>Third consecutive day of open-market buying; clustered buys are a strong insider conviction signal</w:t>
            </w:r>
          </w:p>
        </w:tc>
      </w:tr>
      <w:tr>
        <w:tc>
          <w:tcPr>
            <w:tcW w:type="dxa" w:w="1440"/>
          </w:tcPr>
          <w:p>
            <w:r>
              <w:rPr>
                <w:rFonts w:ascii="Calibri" w:hAnsi="Calibri"/>
                <w:sz w:val="22"/>
              </w:rPr>
              <w:t>Gregory Calvin Thomas</w:t>
            </w:r>
          </w:p>
        </w:tc>
        <w:tc>
          <w:tcPr>
            <w:tcW w:type="dxa" w:w="1440"/>
          </w:tcPr>
          <w:p>
            <w:r>
              <w:rPr>
                <w:rFonts w:ascii="Calibri" w:hAnsi="Calibri"/>
                <w:sz w:val="22"/>
              </w:rPr>
              <w:t>EVP — Chief Technology Officer</w:t>
            </w:r>
          </w:p>
        </w:tc>
        <w:tc>
          <w:tcPr>
            <w:tcW w:type="dxa" w:w="1440"/>
          </w:tcPr>
          <w:p>
            <w:r>
              <w:rPr>
                <w:rFonts w:ascii="Calibri" w:hAnsi="Calibri"/>
                <w:b/>
                <w:color w:val="30A46C"/>
                <w:sz w:val="22"/>
              </w:rPr>
              <w:t>Open Market Buy</w:t>
            </w:r>
          </w:p>
        </w:tc>
        <w:tc>
          <w:tcPr>
            <w:tcW w:type="dxa" w:w="1440"/>
          </w:tcPr>
          <w:p>
            <w:r>
              <w:rPr>
                <w:rFonts w:ascii="Calibri" w:hAnsi="Calibri"/>
                <w:sz w:val="22"/>
              </w:rPr>
              <w:t>3,500 shares</w:t>
            </w:r>
          </w:p>
        </w:tc>
        <w:tc>
          <w:tcPr>
            <w:tcW w:type="dxa" w:w="1440"/>
          </w:tcPr>
          <w:p>
            <w:r>
              <w:rPr>
                <w:rFonts w:ascii="Calibri" w:hAnsi="Calibri"/>
                <w:sz w:val="22"/>
              </w:rPr>
              <w:t>April 30, 2026</w:t>
            </w:r>
          </w:p>
        </w:tc>
        <w:tc>
          <w:tcPr>
            <w:tcW w:type="dxa" w:w="1440"/>
          </w:tcPr>
          <w:p>
            <w:r>
              <w:rPr>
                <w:rFonts w:ascii="Calibri" w:hAnsi="Calibri"/>
                <w:sz w:val="22"/>
              </w:rPr>
              <w:t>Discretionary purchase immediately post-Q1 earnings; CTO buying at lows is a positive signal</w:t>
            </w:r>
          </w:p>
        </w:tc>
      </w:tr>
      <w:tr>
        <w:tc>
          <w:tcPr>
            <w:tcW w:type="dxa" w:w="1440"/>
          </w:tcPr>
          <w:p>
            <w:r>
              <w:rPr>
                <w:rFonts w:ascii="Calibri" w:hAnsi="Calibri"/>
                <w:sz w:val="22"/>
              </w:rPr>
              <w:t>Marc E. Binda</w:t>
            </w:r>
          </w:p>
        </w:tc>
        <w:tc>
          <w:tcPr>
            <w:tcW w:type="dxa" w:w="1440"/>
          </w:tcPr>
          <w:p>
            <w:r>
              <w:rPr>
                <w:rFonts w:ascii="Calibri" w:hAnsi="Calibri"/>
                <w:sz w:val="22"/>
              </w:rPr>
              <w:t>CFO &amp; Treasurer</w:t>
            </w:r>
          </w:p>
        </w:tc>
        <w:tc>
          <w:tcPr>
            <w:tcW w:type="dxa" w:w="1440"/>
          </w:tcPr>
          <w:p>
            <w:r>
              <w:rPr>
                <w:rFonts w:ascii="Calibri" w:hAnsi="Calibri"/>
                <w:sz w:val="22"/>
              </w:rPr>
              <w:t>10b5-1 Planned Sale</w:t>
            </w:r>
          </w:p>
        </w:tc>
        <w:tc>
          <w:tcPr>
            <w:tcW w:type="dxa" w:w="1440"/>
          </w:tcPr>
          <w:p>
            <w:r>
              <w:rPr>
                <w:rFonts w:ascii="Calibri" w:hAnsi="Calibri"/>
                <w:sz w:val="22"/>
              </w:rPr>
              <w:t>2,000 shares</w:t>
            </w:r>
          </w:p>
        </w:tc>
        <w:tc>
          <w:tcPr>
            <w:tcW w:type="dxa" w:w="1440"/>
          </w:tcPr>
          <w:p>
            <w:r>
              <w:rPr>
                <w:rFonts w:ascii="Calibri" w:hAnsi="Calibri"/>
                <w:sz w:val="22"/>
              </w:rPr>
              <w:t>June 9, 2026</w:t>
            </w:r>
          </w:p>
        </w:tc>
        <w:tc>
          <w:tcPr>
            <w:tcW w:type="dxa" w:w="1440"/>
          </w:tcPr>
          <w:p>
            <w:r>
              <w:rPr>
                <w:rFonts w:ascii="Calibri" w:hAnsi="Calibri"/>
                <w:sz w:val="22"/>
              </w:rPr>
              <w:t>Pre-scheduled 10b5-1 plan; not a discretionary signal; routine planned sale</w:t>
            </w:r>
          </w:p>
        </w:tc>
      </w:tr>
      <w:tr>
        <w:tc>
          <w:tcPr>
            <w:tcW w:type="dxa" w:w="1440"/>
          </w:tcPr>
          <w:p>
            <w:r>
              <w:rPr>
                <w:rFonts w:ascii="Calibri" w:hAnsi="Calibri"/>
                <w:sz w:val="22"/>
              </w:rPr>
              <w:t>Peter M. Moglia</w:t>
            </w:r>
          </w:p>
        </w:tc>
        <w:tc>
          <w:tcPr>
            <w:tcW w:type="dxa" w:w="1440"/>
          </w:tcPr>
          <w:p>
            <w:r>
              <w:rPr>
                <w:rFonts w:ascii="Calibri" w:hAnsi="Calibri"/>
                <w:sz w:val="22"/>
              </w:rPr>
              <w:t>Chief Executive Officer</w:t>
            </w:r>
          </w:p>
        </w:tc>
        <w:tc>
          <w:tcPr>
            <w:tcW w:type="dxa" w:w="1440"/>
          </w:tcPr>
          <w:p>
            <w:r>
              <w:rPr>
                <w:rFonts w:ascii="Calibri" w:hAnsi="Calibri"/>
                <w:sz w:val="22"/>
              </w:rPr>
              <w:t>Tax Withholding (Code F)</w:t>
            </w:r>
          </w:p>
        </w:tc>
        <w:tc>
          <w:tcPr>
            <w:tcW w:type="dxa" w:w="1440"/>
          </w:tcPr>
          <w:p>
            <w:r>
              <w:rPr>
                <w:rFonts w:ascii="Calibri" w:hAnsi="Calibri"/>
                <w:sz w:val="22"/>
              </w:rPr>
              <w:t>1,068 shares</w:t>
            </w:r>
          </w:p>
        </w:tc>
        <w:tc>
          <w:tcPr>
            <w:tcW w:type="dxa" w:w="1440"/>
          </w:tcPr>
          <w:p>
            <w:r>
              <w:rPr>
                <w:rFonts w:ascii="Calibri" w:hAnsi="Calibri"/>
                <w:sz w:val="22"/>
              </w:rPr>
              <w:t>June 30, 2026</w:t>
            </w:r>
          </w:p>
        </w:tc>
        <w:tc>
          <w:tcPr>
            <w:tcW w:type="dxa" w:w="1440"/>
          </w:tcPr>
          <w:p>
            <w:r>
              <w:rPr>
                <w:rFonts w:ascii="Calibri" w:hAnsi="Calibri"/>
                <w:sz w:val="22"/>
              </w:rPr>
              <w:t>Mandatory tax withholding on vesting; not a discretionary sale; no signal</w:t>
            </w:r>
          </w:p>
        </w:tc>
      </w:tr>
      <w:tr>
        <w:tc>
          <w:tcPr>
            <w:tcW w:type="dxa" w:w="1440"/>
          </w:tcPr>
          <w:p>
            <w:r>
              <w:rPr>
                <w:rFonts w:ascii="Calibri" w:hAnsi="Calibri"/>
                <w:sz w:val="22"/>
              </w:rPr>
              <w:t>Peter M. Moglia</w:t>
            </w:r>
          </w:p>
        </w:tc>
        <w:tc>
          <w:tcPr>
            <w:tcW w:type="dxa" w:w="1440"/>
          </w:tcPr>
          <w:p>
            <w:r>
              <w:rPr>
                <w:rFonts w:ascii="Calibri" w:hAnsi="Calibri"/>
                <w:sz w:val="22"/>
              </w:rPr>
              <w:t>Chief Executive Officer</w:t>
            </w:r>
          </w:p>
        </w:tc>
        <w:tc>
          <w:tcPr>
            <w:tcW w:type="dxa" w:w="1440"/>
          </w:tcPr>
          <w:p>
            <w:r>
              <w:rPr>
                <w:rFonts w:ascii="Calibri" w:hAnsi="Calibri"/>
                <w:sz w:val="22"/>
              </w:rPr>
              <w:t>Tax Withholding (Code F)</w:t>
            </w:r>
          </w:p>
        </w:tc>
        <w:tc>
          <w:tcPr>
            <w:tcW w:type="dxa" w:w="1440"/>
          </w:tcPr>
          <w:p>
            <w:r>
              <w:rPr>
                <w:rFonts w:ascii="Calibri" w:hAnsi="Calibri"/>
                <w:sz w:val="22"/>
              </w:rPr>
              <w:t>1,067 shares</w:t>
            </w:r>
          </w:p>
        </w:tc>
        <w:tc>
          <w:tcPr>
            <w:tcW w:type="dxa" w:w="1440"/>
          </w:tcPr>
          <w:p>
            <w:r>
              <w:rPr>
                <w:rFonts w:ascii="Calibri" w:hAnsi="Calibri"/>
                <w:sz w:val="22"/>
              </w:rPr>
              <w:t>May 29, 2026</w:t>
            </w:r>
          </w:p>
        </w:tc>
        <w:tc>
          <w:tcPr>
            <w:tcW w:type="dxa" w:w="1440"/>
          </w:tcPr>
          <w:p>
            <w:r>
              <w:rPr>
                <w:rFonts w:ascii="Calibri" w:hAnsi="Calibri"/>
                <w:sz w:val="22"/>
              </w:rPr>
              <w:t>Mandatory tax withholding on vesting; not a discretionary sale; no signal</w:t>
            </w:r>
          </w:p>
        </w:tc>
      </w:tr>
      <w:tr>
        <w:tc>
          <w:tcPr>
            <w:tcW w:type="dxa" w:w="1440"/>
          </w:tcPr>
          <w:p>
            <w:r>
              <w:rPr>
                <w:rFonts w:ascii="Calibri" w:hAnsi="Calibri"/>
                <w:sz w:val="22"/>
              </w:rPr>
              <w:t>Peter M. Moglia</w:t>
            </w:r>
          </w:p>
        </w:tc>
        <w:tc>
          <w:tcPr>
            <w:tcW w:type="dxa" w:w="1440"/>
          </w:tcPr>
          <w:p>
            <w:r>
              <w:rPr>
                <w:rFonts w:ascii="Calibri" w:hAnsi="Calibri"/>
                <w:sz w:val="22"/>
              </w:rPr>
              <w:t>Chief Executive Officer</w:t>
            </w:r>
          </w:p>
        </w:tc>
        <w:tc>
          <w:tcPr>
            <w:tcW w:type="dxa" w:w="1440"/>
          </w:tcPr>
          <w:p>
            <w:r>
              <w:rPr>
                <w:rFonts w:ascii="Calibri" w:hAnsi="Calibri"/>
                <w:sz w:val="22"/>
              </w:rPr>
              <w:t>Tax Withholding (Code F)</w:t>
            </w:r>
          </w:p>
        </w:tc>
        <w:tc>
          <w:tcPr>
            <w:tcW w:type="dxa" w:w="1440"/>
          </w:tcPr>
          <w:p>
            <w:r>
              <w:rPr>
                <w:rFonts w:ascii="Calibri" w:hAnsi="Calibri"/>
                <w:sz w:val="22"/>
              </w:rPr>
              <w:t>1,069 shares</w:t>
            </w:r>
          </w:p>
        </w:tc>
        <w:tc>
          <w:tcPr>
            <w:tcW w:type="dxa" w:w="1440"/>
          </w:tcPr>
          <w:p>
            <w:r>
              <w:rPr>
                <w:rFonts w:ascii="Calibri" w:hAnsi="Calibri"/>
                <w:sz w:val="22"/>
              </w:rPr>
              <w:t>April 30, 2026</w:t>
            </w:r>
          </w:p>
        </w:tc>
        <w:tc>
          <w:tcPr>
            <w:tcW w:type="dxa" w:w="1440"/>
          </w:tcPr>
          <w:p>
            <w:r>
              <w:rPr>
                <w:rFonts w:ascii="Calibri" w:hAnsi="Calibri"/>
                <w:sz w:val="22"/>
              </w:rPr>
              <w:t>Mandatory tax withholding on vesting; not a discretionary sale; no signal</w:t>
            </w:r>
          </w:p>
        </w:tc>
      </w:tr>
      <w:tr>
        <w:tc>
          <w:tcPr>
            <w:tcW w:type="dxa" w:w="1440"/>
          </w:tcPr>
          <w:p>
            <w:r>
              <w:rPr>
                <w:rFonts w:ascii="Calibri" w:hAnsi="Calibri"/>
                <w:sz w:val="22"/>
              </w:rPr>
              <w:t>Michael A. Woronoff</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804 shares</w:t>
            </w:r>
          </w:p>
        </w:tc>
        <w:tc>
          <w:tcPr>
            <w:tcW w:type="dxa" w:w="1440"/>
          </w:tcPr>
          <w:p>
            <w:r>
              <w:rPr>
                <w:rFonts w:ascii="Calibri" w:hAnsi="Calibri"/>
                <w:sz w:val="22"/>
              </w:rPr>
              <w:t>June 30, 2026</w:t>
            </w:r>
          </w:p>
        </w:tc>
        <w:tc>
          <w:tcPr>
            <w:tcW w:type="dxa" w:w="1440"/>
          </w:tcPr>
          <w:p>
            <w:r>
              <w:rPr>
                <w:rFonts w:ascii="Calibri" w:hAnsi="Calibri"/>
                <w:sz w:val="22"/>
              </w:rPr>
              <w:t>Routine director equity award; not a market transaction</w:t>
            </w:r>
          </w:p>
        </w:tc>
      </w:tr>
      <w:tr>
        <w:tc>
          <w:tcPr>
            <w:tcW w:type="dxa" w:w="1440"/>
          </w:tcPr>
          <w:p>
            <w:r>
              <w:rPr>
                <w:rFonts w:ascii="Calibri" w:hAnsi="Calibri"/>
                <w:sz w:val="22"/>
              </w:rPr>
              <w:t>Multiple Directors (5)</w:t>
            </w:r>
          </w:p>
        </w:tc>
        <w:tc>
          <w:tcPr>
            <w:tcW w:type="dxa" w:w="1440"/>
          </w:tcPr>
          <w:p>
            <w:r>
              <w:rPr>
                <w:rFonts w:ascii="Calibri" w:hAnsi="Calibri"/>
                <w:sz w:val="22"/>
              </w:rPr>
              <w:t>Board of Directors</w:t>
            </w:r>
          </w:p>
        </w:tc>
        <w:tc>
          <w:tcPr>
            <w:tcW w:type="dxa" w:w="1440"/>
          </w:tcPr>
          <w:p>
            <w:r>
              <w:rPr>
                <w:rFonts w:ascii="Calibri" w:hAnsi="Calibri"/>
                <w:sz w:val="22"/>
              </w:rPr>
              <w:t>Award (Code A)</w:t>
            </w:r>
          </w:p>
        </w:tc>
        <w:tc>
          <w:tcPr>
            <w:tcW w:type="dxa" w:w="1440"/>
          </w:tcPr>
          <w:p>
            <w:r>
              <w:rPr>
                <w:rFonts w:ascii="Calibri" w:hAnsi="Calibri"/>
                <w:sz w:val="22"/>
              </w:rPr>
              <w:t>111–415 shares each</w:t>
            </w:r>
          </w:p>
        </w:tc>
        <w:tc>
          <w:tcPr>
            <w:tcW w:type="dxa" w:w="1440"/>
          </w:tcPr>
          <w:p>
            <w:r>
              <w:rPr>
                <w:rFonts w:ascii="Calibri" w:hAnsi="Calibri"/>
                <w:sz w:val="22"/>
              </w:rPr>
              <w:t>July 15, 2026</w:t>
            </w:r>
          </w:p>
        </w:tc>
        <w:tc>
          <w:tcPr>
            <w:tcW w:type="dxa" w:w="1440"/>
          </w:tcPr>
          <w:p>
            <w:r>
              <w:rPr>
                <w:rFonts w:ascii="Calibri" w:hAnsi="Calibri"/>
                <w:sz w:val="22"/>
              </w:rPr>
              <w:t>Routine annual director equity awards (Cain, Hash, Klein, McGrath, Woronoff); not market transactions</w:t>
            </w:r>
          </w:p>
        </w:tc>
      </w:tr>
    </w:tbl>
    <w:p>
      <w:r>
        <w:rPr>
          <w:rFonts w:ascii="Calibri" w:hAnsi="Calibri"/>
          <w:i/>
          <w:color w:val="525866"/>
          <w:sz w:val="22"/>
        </w:rPr>
        <w:t xml:space="preserve">Source: Insider Transaction Data (SEC Form 4 filings). </w:t>
      </w:r>
      <w:r>
        <w:rPr>
          <w:rFonts w:ascii="Calibri" w:hAnsi="Calibri"/>
          <w:i/>
          <w:color w:val="525866"/>
          <w:sz w:val="22"/>
        </w:rPr>
        <w:t>The most significant signal is Executive Chairman Joel Marcus's clustered open-market purchase of 25,000 shares across May 4–6, 2026 — immediately following the Q1 2026 earnings print and at prices near the post-earnings lows (~$41–$44/share). Marcus is the company's founder and largest individual insider, and this level of concentrated buying at a multi-year low is a meaningful conviction signal. CTO Gregory Thomas's 3,500-share purchase on April 30 (the day of the Q1 earnings release) adds to the insider buying narrative. No discretionary open-market sales by executives have been filed in the period. The CFO's 10b5-1 planned sale (2,000 shares, June 9) is pre-scheduled and carries no informational content.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