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ares-earnings-predictions--2026-07-31"/>
    <w:p>
      <w:pPr>
        <w:pStyle w:val="Heading1"/>
      </w:pPr>
      <w:r>
        <w:t xml:space="preserve">ARES Earnings Predictions — 2026-07-31</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ARES</w:t>
            </w:r>
          </w:p>
        </w:tc>
        <w:tc>
          <w:tcPr/>
          <w:p>
            <w:pPr>
              <w:pStyle w:val="Compact"/>
            </w:pPr>
            <w:r>
              <w:t xml:space="preserve">Report</w:t>
            </w:r>
          </w:p>
        </w:tc>
        <w:tc>
          <w:tcPr/>
          <w:p>
            <w:pPr>
              <w:pStyle w:val="Compact"/>
            </w:pPr>
            <w:r>
              <w:t xml:space="preserve">Adjusted/Realized EPS</w:t>
            </w:r>
          </w:p>
        </w:tc>
        <w:tc>
          <w:tcPr/>
          <w:p>
            <w:pPr>
              <w:pStyle w:val="Compact"/>
            </w:pPr>
            <w:r>
              <w:t xml:space="preserve">BEAT</w:t>
            </w:r>
          </w:p>
        </w:tc>
        <w:tc>
          <w:tcPr/>
          <w:p>
            <w:pPr>
              <w:pStyle w:val="Compact"/>
            </w:pPr>
            <w:r>
              <w:t xml:space="preserve">pred ~$1.38 vs. cons $1.30</w:t>
            </w:r>
          </w:p>
        </w:tc>
        <w:tc>
          <w:tcPr/>
          <w:p>
            <w:pPr>
              <w:pStyle w:val="Compact"/>
            </w:pPr>
            <w:r>
              <w:t xml:space="preserve">HIGH</w:t>
            </w:r>
          </w:p>
        </w:tc>
      </w:tr>
      <w:tr>
        <w:tc>
          <w:tcPr/>
          <w:p>
            <w:pPr>
              <w:pStyle w:val="Compact"/>
            </w:pPr>
            <w:r>
              <w:t xml:space="preserve">ARES</w:t>
            </w:r>
          </w:p>
        </w:tc>
        <w:tc>
          <w:tcPr/>
          <w:p>
            <w:pPr>
              <w:pStyle w:val="Compact"/>
            </w:pPr>
            <w:r>
              <w:t xml:space="preserve">Report</w:t>
            </w:r>
          </w:p>
        </w:tc>
        <w:tc>
          <w:tcPr/>
          <w:p>
            <w:pPr>
              <w:pStyle w:val="Compact"/>
            </w:pPr>
            <w:r>
              <w:t xml:space="preserve">Total Management Fees</w:t>
            </w:r>
          </w:p>
        </w:tc>
        <w:tc>
          <w:tcPr/>
          <w:p>
            <w:pPr>
              <w:pStyle w:val="Compact"/>
            </w:pPr>
            <w:r>
              <w:t xml:space="preserve">BEAT</w:t>
            </w:r>
          </w:p>
        </w:tc>
        <w:tc>
          <w:tcPr/>
          <w:p>
            <w:pPr>
              <w:pStyle w:val="Compact"/>
            </w:pPr>
            <w:r>
              <w:t xml:space="preserve">pred ~$1.14B vs. cons $1.10B</w:t>
            </w:r>
          </w:p>
        </w:tc>
        <w:tc>
          <w:tcPr/>
          <w:p>
            <w:pPr>
              <w:pStyle w:val="Compact"/>
            </w:pPr>
            <w:r>
              <w:t xml:space="preserve">MEDIUM</w:t>
            </w:r>
          </w:p>
        </w:tc>
      </w:tr>
      <w:tr>
        <w:tc>
          <w:tcPr/>
          <w:p>
            <w:pPr>
              <w:pStyle w:val="Compact"/>
            </w:pPr>
            <w:r>
              <w:t xml:space="preserve">ARES</w:t>
            </w:r>
          </w:p>
        </w:tc>
        <w:tc>
          <w:tcPr/>
          <w:p>
            <w:pPr>
              <w:pStyle w:val="Compact"/>
            </w:pPr>
            <w:r>
              <w:t xml:space="preserve">Report</w:t>
            </w:r>
          </w:p>
        </w:tc>
        <w:tc>
          <w:tcPr/>
          <w:p>
            <w:pPr>
              <w:pStyle w:val="Compact"/>
            </w:pPr>
            <w:r>
              <w:t xml:space="preserve">Fee-Related Earnings (FRE)</w:t>
            </w:r>
          </w:p>
        </w:tc>
        <w:tc>
          <w:tcPr/>
          <w:p>
            <w:pPr>
              <w:pStyle w:val="Compact"/>
            </w:pPr>
            <w:r>
              <w:t xml:space="preserve">BEAT</w:t>
            </w:r>
          </w:p>
        </w:tc>
        <w:tc>
          <w:tcPr/>
          <w:p>
            <w:pPr>
              <w:pStyle w:val="Compact"/>
            </w:pPr>
            <w:r>
              <w:t xml:space="preserve">pred ~</w:t>
            </w:r>
            <m:oMath>
              <m:r>
                <m:t>505</m:t>
              </m:r>
              <m:r>
                <m:t>M</m:t>
              </m:r>
              <m:r>
                <m:t>v</m:t>
              </m:r>
              <m:r>
                <m:t>s</m:t>
              </m:r>
              <m:r>
                <m:rPr>
                  <m:sty m:val="p"/>
                </m:rPr>
                <m:t>.</m:t>
              </m:r>
              <m:r>
                <m:t>c</m:t>
              </m:r>
              <m:r>
                <m:t>o</m:t>
              </m:r>
              <m:r>
                <m:t>n</m:t>
              </m:r>
              <m:r>
                <m:t>s</m:t>
              </m:r>
              <m:r>
                <m:t> </m:t>
              </m:r>
            </m:oMath>
            <w:r>
              <w:t xml:space="preserve">495M</w:t>
            </w:r>
          </w:p>
        </w:tc>
        <w:tc>
          <w:tcPr/>
          <w:p>
            <w:pPr>
              <w:pStyle w:val="Compact"/>
            </w:pPr>
            <w:r>
              <w:t xml:space="preserve">MEDIUM</w:t>
            </w:r>
          </w:p>
        </w:tc>
      </w:tr>
      <w:tr>
        <w:tc>
          <w:tcPr/>
          <w:p>
            <w:pPr>
              <w:pStyle w:val="Compact"/>
            </w:pPr>
            <w:r>
              <w:t xml:space="preserve">ARES</w:t>
            </w:r>
          </w:p>
        </w:tc>
        <w:tc>
          <w:tcPr/>
          <w:p>
            <w:pPr>
              <w:pStyle w:val="Compact"/>
            </w:pPr>
            <w:r>
              <w:t xml:space="preserve">Guide</w:t>
            </w:r>
          </w:p>
        </w:tc>
        <w:tc>
          <w:tcPr/>
          <w:p>
            <w:pPr>
              <w:pStyle w:val="Compact"/>
            </w:pPr>
            <w:r>
              <w:t xml:space="preserve">FY2026 FRE margin expansion</w:t>
            </w:r>
          </w:p>
        </w:tc>
        <w:tc>
          <w:tcPr/>
          <w:p>
            <w:pPr>
              <w:pStyle w:val="Compact"/>
            </w:pPr>
            <w:r>
              <w:t xml:space="preserve">BETTER</w:t>
            </w:r>
          </w:p>
        </w:tc>
        <w:tc>
          <w:tcPr/>
          <w:p>
            <w:pPr>
              <w:pStyle w:val="Compact"/>
            </w:pPr>
            <w:r>
              <w:t xml:space="preserve">guide ~150bps vs. cons ~100bps (FY2026)</w:t>
            </w:r>
          </w:p>
        </w:tc>
        <w:tc>
          <w:tcPr/>
          <w:p>
            <w:pPr>
              <w:pStyle w:val="Compact"/>
            </w:pPr>
            <w:r>
              <w:t xml:space="preserve">MEDIUM</w:t>
            </w:r>
          </w:p>
        </w:tc>
      </w:tr>
      <w:tr>
        <w:tc>
          <w:tcPr/>
          <w:p>
            <w:pPr>
              <w:pStyle w:val="Compact"/>
            </w:pPr>
            <w:r>
              <w:t xml:space="preserve">ARES</w:t>
            </w:r>
          </w:p>
        </w:tc>
        <w:tc>
          <w:tcPr/>
          <w:p>
            <w:pPr>
              <w:pStyle w:val="Compact"/>
            </w:pPr>
            <w:r>
              <w:t xml:space="preserve">Guide</w:t>
            </w:r>
          </w:p>
        </w:tc>
        <w:tc>
          <w:tcPr/>
          <w:p>
            <w:pPr>
              <w:pStyle w:val="Compact"/>
            </w:pPr>
            <w:r>
              <w:t xml:space="preserve">FY2026 Realized income growth</w:t>
            </w:r>
          </w:p>
        </w:tc>
        <w:tc>
          <w:tcPr/>
          <w:p>
            <w:pPr>
              <w:pStyle w:val="Compact"/>
            </w:pPr>
            <w:r>
              <w:t xml:space="preserve">UNCHANGED</w:t>
            </w:r>
          </w:p>
        </w:tc>
        <w:tc>
          <w:tcPr/>
          <w:p>
            <w:pPr>
              <w:pStyle w:val="Compact"/>
            </w:pPr>
            <w:r>
              <w:t xml:space="preserve">guide ~22% vs. cons ~21% (FY2026)</w:t>
            </w:r>
          </w:p>
        </w:tc>
        <w:tc>
          <w:tcPr/>
          <w:p>
            <w:pPr>
              <w:pStyle w:val="Compact"/>
            </w:pPr>
            <w:r>
              <w:t xml:space="preserve">LOW</w:t>
            </w:r>
          </w:p>
        </w:tc>
      </w:tr>
      <w:tr>
        <w:tc>
          <w:tcPr/>
          <w:p>
            <w:pPr>
              <w:pStyle w:val="Compact"/>
            </w:pPr>
            <w:r>
              <w:t xml:space="preserve">ARES</w:t>
            </w:r>
          </w:p>
        </w:tc>
        <w:tc>
          <w:tcPr/>
          <w:p>
            <w:pPr>
              <w:pStyle w:val="Compact"/>
            </w:pPr>
            <w:r>
              <w:t xml:space="preserve">Guide</w:t>
            </w:r>
          </w:p>
        </w:tc>
        <w:tc>
          <w:tcPr/>
          <w:p>
            <w:pPr>
              <w:pStyle w:val="Compact"/>
            </w:pPr>
            <w:r>
              <w:t xml:space="preserve">2028 wealth-channel cumulative fundraising target</w:t>
            </w:r>
          </w:p>
        </w:tc>
        <w:tc>
          <w:tcPr/>
          <w:p>
            <w:pPr>
              <w:pStyle w:val="Compact"/>
            </w:pPr>
            <w:r>
              <w:t xml:space="preserve">UNCHANGED</w:t>
            </w:r>
          </w:p>
        </w:tc>
        <w:tc>
          <w:tcPr/>
          <w:p>
            <w:pPr>
              <w:pStyle w:val="Compact"/>
            </w:pPr>
            <w:r>
              <w:t xml:space="preserve">guide ~</w:t>
            </w:r>
            <m:oMath>
              <m:r>
                <m:t>125</m:t>
              </m:r>
              <m:r>
                <m:t>B</m:t>
              </m:r>
              <m:r>
                <m:t>v</m:t>
              </m:r>
              <m:r>
                <m:t>s</m:t>
              </m:r>
              <m:r>
                <m:rPr>
                  <m:sty m:val="p"/>
                </m:rPr>
                <m:t>.</m:t>
              </m:r>
              <m:r>
                <m:t>c</m:t>
              </m:r>
              <m:r>
                <m:t>o</m:t>
              </m:r>
              <m:r>
                <m:t>n</m:t>
              </m:r>
              <m:r>
                <m:t>s</m:t>
              </m:r>
              <m:r>
                <m:t> </m:t>
              </m:r>
            </m:oMath>
            <w:r>
              <w:t xml:space="preserve">125B (by 2028)</w:t>
            </w:r>
          </w:p>
        </w:tc>
        <w:tc>
          <w:tcPr/>
          <w:p>
            <w:pPr>
              <w:pStyle w:val="Compact"/>
            </w:pPr>
            <w:r>
              <w:t xml:space="preserve">MEDIUM</w:t>
            </w:r>
          </w:p>
        </w:tc>
      </w:tr>
      <w:tr>
        <w:tc>
          <w:tcPr/>
          <w:p>
            <w:pPr>
              <w:pStyle w:val="Compact"/>
            </w:pPr>
            <w:r>
              <w:t xml:space="preserve">ARES</w:t>
            </w:r>
          </w:p>
        </w:tc>
        <w:tc>
          <w:tcPr/>
          <w:p>
            <w:pPr>
              <w:pStyle w:val="Compact"/>
            </w:pPr>
            <w:r>
              <w:t xml:space="preserve">Guide</w:t>
            </w:r>
          </w:p>
        </w:tc>
        <w:tc>
          <w:tcPr/>
          <w:p>
            <w:pPr>
              <w:pStyle w:val="Compact"/>
            </w:pPr>
            <w:r>
              <w:t xml:space="preserve">Direct-lending credit quality / non-accrual trend commentary</w:t>
            </w:r>
          </w:p>
        </w:tc>
        <w:tc>
          <w:tcPr/>
          <w:p>
            <w:pPr>
              <w:pStyle w:val="Compact"/>
            </w:pPr>
            <w:r>
              <w:t xml:space="preserve">UNKNOWN</w:t>
            </w:r>
          </w:p>
        </w:tc>
        <w:tc>
          <w:tcPr/>
          <w:p>
            <w:pPr>
              <w:pStyle w:val="Compact"/>
            </w:pPr>
            <w:r>
              <w:t xml:space="preserve">guide ~stable-to-modestly-higher non-accruals (~1.5-2.0%) vs. cons expectation of ~2.0-2.4% (Q3 2026 outlook)</w:t>
            </w:r>
          </w:p>
        </w:tc>
        <w:tc>
          <w:tcPr/>
          <w:p>
            <w:pPr>
              <w:pStyle w:val="Compact"/>
            </w:pPr>
            <w:r>
              <w:t xml:space="preserve">LOW</w:t>
            </w:r>
          </w:p>
        </w:tc>
      </w:tr>
      <w:tr>
        <w:tc>
          <w:tcPr/>
          <w:p>
            <w:pPr>
              <w:pStyle w:val="Compact"/>
            </w:pPr>
            <w:r>
              <w:t xml:space="preserve">ARES</w:t>
            </w:r>
          </w:p>
        </w:tc>
        <w:tc>
          <w:tcPr/>
          <w:p>
            <w:pPr>
              <w:pStyle w:val="Compact"/>
            </w:pPr>
            <w:r>
              <w:t xml:space="preserve">Return</w:t>
            </w:r>
          </w:p>
        </w:tc>
        <w:tc>
          <w:tcPr/>
          <w:p>
            <w:pPr>
              <w:pStyle w:val="Compact"/>
            </w:pPr>
            <w:r>
              <w:t xml:space="preserve">Day-1 residual (stock − beta × S&amp;P 500)</w:t>
            </w:r>
          </w:p>
        </w:tc>
        <w:tc>
          <w:tcPr/>
          <w:p>
            <w:pPr>
              <w:pStyle w:val="Compact"/>
            </w:pPr>
            <w:r>
              <w:t xml:space="preserve">+2.0%</w:t>
            </w:r>
          </w:p>
        </w:tc>
        <w:tc>
          <w:tcPr/>
          <w:p>
            <w:pPr>
              <w:pStyle w:val="Compact"/>
            </w:pPr>
            <w:r>
              <w:t xml:space="preserve">—</w:t>
            </w:r>
          </w:p>
        </w:tc>
        <w:tc>
          <w:tcPr/>
          <w:p>
            <w:pPr>
              <w:pStyle w:val="Compact"/>
            </w:pPr>
            <w:r>
              <w:t xml:space="preserve">LOW</w:t>
            </w:r>
          </w:p>
        </w:tc>
      </w:tr>
      <w:tr>
        <w:tc>
          <w:tcPr/>
          <w:p>
            <w:pPr>
              <w:pStyle w:val="Compact"/>
            </w:pPr>
            <w:r>
              <w:t xml:space="preserve">ARES</w:t>
            </w:r>
          </w:p>
        </w:tc>
        <w:tc>
          <w:tcPr/>
          <w:p>
            <w:pPr>
              <w:pStyle w:val="Compact"/>
            </w:pPr>
            <w:r>
              <w:t xml:space="preserve">Return</w:t>
            </w:r>
          </w:p>
        </w:tc>
        <w:tc>
          <w:tcPr/>
          <w:p>
            <w:pPr>
              <w:pStyle w:val="Compact"/>
            </w:pPr>
            <w:r>
              <w:t xml:space="preserve">5-day cumulative residual</w:t>
            </w:r>
          </w:p>
        </w:tc>
        <w:tc>
          <w:tcPr/>
          <w:p>
            <w:pPr>
              <w:pStyle w:val="Compact"/>
            </w:pPr>
            <w:r>
              <w:t xml:space="preserve">+0.4% (FADE)</w:t>
            </w:r>
          </w:p>
        </w:tc>
        <w:tc>
          <w:tcPr/>
          <w:p>
            <w:pPr>
              <w:pStyle w:val="Compact"/>
            </w:pPr>
            <w:r>
              <w:t xml:space="preserve">Much of the 'good news' (the &gt;$50M realized performance income vs $16M prior year) was pre-announced on July 10 and is already in consensus/price, capping upside surprise on the print itself. Headline FRE/fee growth should beat, driving an initial positive pop, but the realized-income tailwind is non-recurring and analysts will normalize it out of forward estimates; combined with ARCC's read-through (rising non-accruals, negative net originations, declining NAV) raising the bar for ARES' own credit commentary, and no incremental raise to FY26 targets (management merely reaffirms 16-20% FRE CAGR / 20-25% RI CAGR), out-period estimate revisions are likely to be flat-to-slightly-down once the one-off is stripped out. That dynamic, plus lingering ambiguity on the Leonard Green deal (no signed agreement, could cut either way), points to an initial pop that fades over the week rather than sustained follow-through.</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2026-07-31T00:22:12Z</dcterms:created>
  <dcterms:modified xsi:type="dcterms:W3CDTF">2026-07-31T00:22:12Z</dcterms:modified>
</cp:coreProperties>
</file>

<file path=docProps/custom.xml><?xml version="1.0" encoding="utf-8"?>
<Properties xmlns="http://schemas.openxmlformats.org/officeDocument/2006/custom-properties" xmlns:vt="http://schemas.openxmlformats.org/officeDocument/2006/docPropsVTypes"/>
</file>