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res-earnings-predictions--2026-07-31"/>
    <w:p>
      <w:pPr>
        <w:pStyle w:val="Heading1"/>
      </w:pPr>
      <w:r>
        <w:t xml:space="preserve">ARES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After-tax realized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~$1.35 vs. cons $1.30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Fee-related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~$495M vs. cons $487M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Management fees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~$1.092B vs. cons $1.080B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Fee-related earnings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~20% vs. cons 19%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Fee-related earnings margin expansion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~140 bps vs. cons 125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+4.6% (FOLLOW-THROUGH)</w:t>
            </w:r>
          </w:p>
        </w:tc>
        <w:tc>
          <w:tcPr/>
          <w:p>
            <w:pPr>
              <w:pStyle w:val="Compact"/>
            </w:pPr>
            <w:r>
              <w:t xml:space="preserve">Above-consensus management fees and FRE, plus FY2026 growth of ~20% versus consensus of 19%, should lift FY2026-FY2027 estimates; limited deployment acceleration and wealth-redemption concerns cap the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2026-07-31T00:21:02Z</dcterms:created>
  <dcterms:modified xsi:type="dcterms:W3CDTF">2026-07-31T00:21:02Z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