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ares-management-q2-2026-earnings-preview"/>
    <w:p>
      <w:pPr>
        <w:pStyle w:val="Heading1"/>
      </w:pPr>
      <w:r>
        <w:t xml:space="preserve">Ares Management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Ares Management is scheduled to report</w:t>
      </w:r>
      <w:r>
        <w:t xml:space="preserve"> </w:t>
      </w:r>
      <w:r>
        <w:rPr>
          <w:b/>
          <w:bCs/>
        </w:rPr>
        <w:t xml:space="preserve">today, Friday, July 31, 2026</w:t>
      </w:r>
      <w:r>
        <w:t xml:space="preserve">, before the NYSE opens—not tomorrow. The earnings call is scheduled for</w:t>
      </w:r>
      <w:r>
        <w:t xml:space="preserve"> </w:t>
      </w:r>
      <w:r>
        <w:rPr>
          <w:b/>
          <w:bCs/>
        </w:rPr>
        <w:t xml:space="preserve">9:00 a.m. ET</w:t>
      </w:r>
      <w:r>
        <w:t xml:space="preserve">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Ares enters Q2 with a strong recurring-fee growth story but persistent investor concerns around private-credit deployment, wealth-channel redemptions, and credit quality. The central question is whether institutional fundraising and diversification can continue to outweigh slower U.S. direct-lending activity and softer flows in private-credit wealth products.</w:t>
      </w:r>
    </w:p>
    <w:p>
      <w:pPr>
        <w:pStyle w:val="BodyText"/>
      </w:pPr>
      <w:r>
        <w:t xml:space="preserve">The stock closed July 30 at</w:t>
      </w:r>
      <w:r>
        <w:t xml:space="preserve"> </w:t>
      </w:r>
      <w:r>
        <w:rPr>
          <w:b/>
          <w:bCs/>
        </w:rPr>
        <w:t xml:space="preserve">$124.15</w:t>
      </w:r>
      <w:r>
        <w:t xml:space="preserve">, down approximately</w:t>
      </w:r>
      <w:r>
        <w:t xml:space="preserve"> </w:t>
      </w:r>
      <w:r>
        <w:rPr>
          <w:b/>
          <w:bCs/>
        </w:rPr>
        <w:t xml:space="preserve">25% year to date</w:t>
      </w:r>
      <w:r>
        <w:t xml:space="preserve">, although it has recovered roughly</w:t>
      </w:r>
      <w:r>
        <w:t xml:space="preserve"> </w:t>
      </w:r>
      <w:r>
        <w:rPr>
          <w:b/>
          <w:bCs/>
        </w:rPr>
        <w:t xml:space="preserve">29% from its March low</w:t>
      </w:r>
      <w:r>
        <w:t xml:space="preserve">. Expectations are therefore well below where they began the year, but investors still need evidence that Ares can translate fundraising and dry powder into fee-paying AUM and earnings.</w:t>
      </w:r>
    </w:p>
    <w:bookmarkEnd w:id="9"/>
    <w:bookmarkStart w:id="10" w:name="what-is-already-known"/>
    <w:p>
      <w:pPr>
        <w:pStyle w:val="Heading2"/>
      </w:pPr>
      <w:r>
        <w:t xml:space="preserve">What is already known</w:t>
      </w:r>
    </w:p>
    <w:p>
      <w:pPr>
        <w:pStyle w:val="FirstParagraph"/>
      </w:pPr>
      <w:r>
        <w:t xml:space="preserve">Ares has effectively preannounced one positive component of the quarter: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Q2 realized net performance income is expected to exceed $50 million</w:t>
      </w:r>
      <w:r>
        <w:t xml:space="preserve">, versus $16 million in Q2 2025.</w:t>
      </w:r>
    </w:p>
    <w:p>
      <w:pPr>
        <w:pStyle w:val="Compact"/>
        <w:numPr>
          <w:ilvl w:val="0"/>
          <w:numId w:val="1001"/>
        </w:numPr>
      </w:pPr>
      <w:r>
        <w:t xml:space="preserve">This compares with $75 million in Q1 2026, so the disclosure establishes a healthy year-over-year result but not necessarily sequential growth.</w:t>
      </w:r>
    </w:p>
    <w:p>
      <w:pPr>
        <w:pStyle w:val="Compact"/>
        <w:numPr>
          <w:ilvl w:val="0"/>
          <w:numId w:val="1001"/>
        </w:numPr>
      </w:pPr>
      <w:r>
        <w:t xml:space="preserve">The figure does not include realized investment income or provide a full indication of realized income or realized EPS.</w:t>
      </w:r>
    </w:p>
    <w:p>
      <w:pPr>
        <w:pStyle w:val="FirstParagraph"/>
      </w:pPr>
      <w:r>
        <w:t xml:space="preserve">Management also supplied several intra-quarter data points at a June conference:</w:t>
      </w:r>
    </w:p>
    <w:p>
      <w:pPr>
        <w:pStyle w:val="Compact"/>
        <w:numPr>
          <w:ilvl w:val="0"/>
          <w:numId w:val="1002"/>
        </w:numPr>
      </w:pPr>
      <w:r>
        <w:t xml:space="preserve">Q2 wealth fundraising was approximately</w:t>
      </w:r>
      <w:r>
        <w:t xml:space="preserve"> </w:t>
      </w:r>
      <w:r>
        <w:rPr>
          <w:b/>
          <w:bCs/>
        </w:rPr>
        <w:t xml:space="preserve">$3.6 billion gross</w:t>
      </w:r>
      <w:r>
        <w:t xml:space="preserve">, up 10% year over year and only modestly below Q1’s roughly $4.2 billion.</w:t>
      </w:r>
    </w:p>
    <w:p>
      <w:pPr>
        <w:pStyle w:val="Compact"/>
        <w:numPr>
          <w:ilvl w:val="0"/>
          <w:numId w:val="1002"/>
        </w:numPr>
      </w:pPr>
      <w:r>
        <w:t xml:space="preserve">The core infrastructure wealth fund raised approximately</w:t>
      </w:r>
      <w:r>
        <w:t xml:space="preserve"> </w:t>
      </w:r>
      <w:r>
        <w:rPr>
          <w:b/>
          <w:bCs/>
        </w:rPr>
        <w:t xml:space="preserve">$1.9 billion</w:t>
      </w:r>
      <w:r>
        <w:t xml:space="preserve"> </w:t>
      </w:r>
      <w:r>
        <w:t xml:space="preserve">during Q2, including $850 million in June.</w:t>
      </w:r>
    </w:p>
    <w:p>
      <w:pPr>
        <w:pStyle w:val="Compact"/>
        <w:numPr>
          <w:ilvl w:val="0"/>
          <w:numId w:val="1002"/>
        </w:numPr>
      </w:pPr>
      <w:r>
        <w:t xml:space="preserve">Pathfinder III, Ares’ latest alternative-credit fund, reached its</w:t>
      </w:r>
      <w:r>
        <w:t xml:space="preserve"> </w:t>
      </w:r>
      <w:r>
        <w:rPr>
          <w:b/>
          <w:bCs/>
        </w:rPr>
        <w:t xml:space="preserve">$8.5 billion hard cap</w:t>
      </w:r>
      <w:r>
        <w:t xml:space="preserve">, above its $6.5 billion target. Approximately $4 billion from the prior fund was also extended alongside the closing.</w:t>
      </w:r>
    </w:p>
    <w:p>
      <w:pPr>
        <w:pStyle w:val="Compact"/>
        <w:numPr>
          <w:ilvl w:val="0"/>
          <w:numId w:val="1002"/>
        </w:numPr>
      </w:pPr>
      <w:r>
        <w:t xml:space="preserve">Management continued to expect 2026 fee-related earnings margin expansion toward the high end of its annual guidance range.</w:t>
      </w:r>
    </w:p>
    <w:p>
      <w:pPr>
        <w:pStyle w:val="FirstParagraph"/>
      </w:pPr>
      <w:r>
        <w:t xml:space="preserve">These data points suggest that fundraising remained healthy and more diversified than the private-credit redemption headlines imply.</w:t>
      </w:r>
    </w:p>
    <w:bookmarkEnd w:id="10"/>
    <w:bookmarkStart w:id="11" w:name="q1-baseline"/>
    <w:p>
      <w:pPr>
        <w:pStyle w:val="Heading2"/>
      </w:pPr>
      <w:r>
        <w:t xml:space="preserve">Q1 baseline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Year-over-year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$644.3B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Fee-paying AUM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$399.6B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fundraising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$29.5B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+46% approximately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deployment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$32.3B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 fees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$1.002B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Fee-related earnings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$464.4M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+90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Realized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$502.7M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After-tax realized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Available capital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$158.1B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AUM not yet paying fees and available for deployment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$79.4B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The most important Q2 comparisons will be against the strong year-over-year growth rates in management fees, fee-paying AUM and FRE—not GAAP EPS, which can be distorted by unrealized investment and performance-income marks.</w:t>
      </w:r>
    </w:p>
    <w:bookmarkEnd w:id="11"/>
    <w:bookmarkStart w:id="17" w:name="the-five-issues-that-matter-most"/>
    <w:p>
      <w:pPr>
        <w:pStyle w:val="Heading2"/>
      </w:pPr>
      <w:r>
        <w:t xml:space="preserve">The five issues that matter most</w:t>
      </w:r>
    </w:p>
    <w:bookmarkStart w:id="12" w:name="X7a0e2d2b4ff9bf9db50336cb42055a376174305"/>
    <w:p>
      <w:pPr>
        <w:pStyle w:val="Heading3"/>
      </w:pPr>
      <w:r>
        <w:t xml:space="preserve">1. Can fee-paying AUM keep compounding at a high-teens rate?</w:t>
      </w:r>
    </w:p>
    <w:p>
      <w:pPr>
        <w:pStyle w:val="FirstParagraph"/>
      </w:pPr>
      <w:r>
        <w:t xml:space="preserve">Ares ended Q1 with</w:t>
      </w:r>
      <w:r>
        <w:t xml:space="preserve"> </w:t>
      </w:r>
      <w:r>
        <w:rPr>
          <w:b/>
          <w:bCs/>
        </w:rPr>
        <w:t xml:space="preserve">$79.4 billion of undeployed AUM eligible to begin paying fees</w:t>
      </w:r>
      <w:r>
        <w:t xml:space="preserve">, which management estimated could eventually produce nearly $695 million of incremental annual management fees before offsets.</w:t>
      </w:r>
    </w:p>
    <w:p>
      <w:pPr>
        <w:pStyle w:val="BodyText"/>
      </w:pPr>
      <w:r>
        <w:t xml:space="preserve">That gives the company substantial embedded earnings visibility, but the conversion rate depends on deployment. A constructive Q2 report would show:</w:t>
      </w:r>
    </w:p>
    <w:p>
      <w:pPr>
        <w:pStyle w:val="Compact"/>
        <w:numPr>
          <w:ilvl w:val="0"/>
          <w:numId w:val="1003"/>
        </w:numPr>
      </w:pPr>
      <w:r>
        <w:t xml:space="preserve">Fee-paying AUM growth remaining near the high teens.</w:t>
      </w:r>
    </w:p>
    <w:p>
      <w:pPr>
        <w:pStyle w:val="Compact"/>
        <w:numPr>
          <w:ilvl w:val="0"/>
          <w:numId w:val="1003"/>
        </w:numPr>
      </w:pPr>
      <w:r>
        <w:t xml:space="preserve">Continued double-digit management-fee growth.</w:t>
      </w:r>
    </w:p>
    <w:p>
      <w:pPr>
        <w:pStyle w:val="Compact"/>
        <w:numPr>
          <w:ilvl w:val="0"/>
          <w:numId w:val="1003"/>
        </w:numPr>
      </w:pPr>
      <w:r>
        <w:t xml:space="preserve">Positive net deployment despite repayments and realizations.</w:t>
      </w:r>
    </w:p>
    <w:p>
      <w:pPr>
        <w:pStyle w:val="Compact"/>
        <w:numPr>
          <w:ilvl w:val="0"/>
          <w:numId w:val="1003"/>
        </w:numPr>
      </w:pPr>
      <w:r>
        <w:t xml:space="preserve">No meaningful deterioration in the effective management-fee rate.</w:t>
      </w:r>
    </w:p>
    <w:p>
      <w:pPr>
        <w:pStyle w:val="FirstParagraph"/>
      </w:pPr>
      <w:r>
        <w:t xml:space="preserve">AUM growth by itself is less important if commitments remain undeployed and do not enter the fee base.</w:t>
      </w:r>
    </w:p>
    <w:bookmarkEnd w:id="12"/>
    <w:bookmarkStart w:id="13" w:name="Xac8368061bf0e4c7dcdc25104ec6422fe158818"/>
    <w:p>
      <w:pPr>
        <w:pStyle w:val="Heading3"/>
      </w:pPr>
      <w:r>
        <w:t xml:space="preserve">2. Deployment may be the quarter’s soft spot—but the exit rate matters more</w:t>
      </w:r>
    </w:p>
    <w:p>
      <w:pPr>
        <w:pStyle w:val="FirstParagraph"/>
      </w:pPr>
      <w:r>
        <w:t xml:space="preserve">Q1 gross deployment was $32.3 billion, despite weak middle-market M&amp;A activity. Management said the firmwide pipeline was at a record level, with particular strength in European direct lending, asset-based finance, digital infrastructure and secondaries.</w:t>
      </w:r>
    </w:p>
    <w:p>
      <w:pPr>
        <w:pStyle w:val="BodyText"/>
      </w:pPr>
      <w:r>
        <w:t xml:space="preserve">Recent results from Ares Capital, the publicly traded BDC managed by Ares, indicate that U.S. direct-lending activity remained subdued during Q2:</w:t>
      </w:r>
    </w:p>
    <w:p>
      <w:pPr>
        <w:pStyle w:val="Compact"/>
        <w:numPr>
          <w:ilvl w:val="0"/>
          <w:numId w:val="1004"/>
        </w:numPr>
      </w:pPr>
      <w:r>
        <w:t xml:space="preserve">ARCC originated $2.6 billion of new commitments.</w:t>
      </w:r>
    </w:p>
    <w:p>
      <w:pPr>
        <w:pStyle w:val="Compact"/>
        <w:numPr>
          <w:ilvl w:val="0"/>
          <w:numId w:val="1004"/>
        </w:numPr>
      </w:pPr>
      <w:r>
        <w:t xml:space="preserve">Repayment activity kept the portfolio slightly smaller sequentially.</w:t>
      </w:r>
    </w:p>
    <w:p>
      <w:pPr>
        <w:pStyle w:val="Compact"/>
        <w:numPr>
          <w:ilvl w:val="0"/>
          <w:numId w:val="1004"/>
        </w:numPr>
      </w:pPr>
      <w:r>
        <w:t xml:space="preserve">Sponsor-backed M&amp;A remained slow.</w:t>
      </w:r>
    </w:p>
    <w:p>
      <w:pPr>
        <w:pStyle w:val="Compact"/>
        <w:numPr>
          <w:ilvl w:val="0"/>
          <w:numId w:val="1004"/>
        </w:numPr>
      </w:pPr>
      <w:r>
        <w:t xml:space="preserve">However, transactions reviewed increased more than 25% sequentially.</w:t>
      </w:r>
    </w:p>
    <w:p>
      <w:pPr>
        <w:pStyle w:val="Compact"/>
        <w:numPr>
          <w:ilvl w:val="0"/>
          <w:numId w:val="1004"/>
        </w:numPr>
      </w:pPr>
      <w:r>
        <w:t xml:space="preserve">June was one of ARCC’s strongest months for new transactions reviewed in two years, and that momentum continued into July.</w:t>
      </w:r>
    </w:p>
    <w:p>
      <w:pPr>
        <w:pStyle w:val="Compact"/>
        <w:numPr>
          <w:ilvl w:val="0"/>
          <w:numId w:val="1004"/>
        </w:numPr>
      </w:pPr>
      <w:r>
        <w:t xml:space="preserve">New-loan spreads and upfront fees improved relative to late 2025.</w:t>
      </w:r>
    </w:p>
    <w:p>
      <w:pPr>
        <w:pStyle w:val="FirstParagraph"/>
      </w:pPr>
      <w:r>
        <w:t xml:space="preserve">Thus, a softer reported deployment number would not necessarily be bearish if management can demonstrate that June and July pipelines are converting into Q3 closings. The better setup may be slower near-term deployment but wider spreads, higher fees and improved lender protections.</w:t>
      </w:r>
    </w:p>
    <w:bookmarkEnd w:id="13"/>
    <w:bookmarkStart w:id="14" w:name="X0673c09de021525ddd4ce7c6f2a9196e8375af9"/>
    <w:p>
      <w:pPr>
        <w:pStyle w:val="Heading3"/>
      </w:pPr>
      <w:r>
        <w:t xml:space="preserve">3. Wealth redemptions versus product diversification</w:t>
      </w:r>
    </w:p>
    <w:p>
      <w:pPr>
        <w:pStyle w:val="FirstParagraph"/>
      </w:pPr>
      <w:r>
        <w:t xml:space="preserve">Private-credit wealth flows have been a major source of concern. In Q1, management acknowledged slower inflows and elevated redemption requests in its U.S. non-traded BDC, but emphasized that:</w:t>
      </w:r>
    </w:p>
    <w:p>
      <w:pPr>
        <w:pStyle w:val="Compact"/>
        <w:numPr>
          <w:ilvl w:val="0"/>
          <w:numId w:val="1005"/>
        </w:numPr>
      </w:pPr>
      <w:r>
        <w:t xml:space="preserve">More than 95% of investors did not request redemption.</w:t>
      </w:r>
    </w:p>
    <w:p>
      <w:pPr>
        <w:pStyle w:val="Compact"/>
        <w:numPr>
          <w:ilvl w:val="0"/>
          <w:numId w:val="1005"/>
        </w:numPr>
      </w:pPr>
      <w:r>
        <w:t xml:space="preserve">The two most relevant U.S. private-credit wealth vehicles represented only about 4.5% of total fee-paying AUM.</w:t>
      </w:r>
    </w:p>
    <w:p>
      <w:pPr>
        <w:pStyle w:val="Compact"/>
        <w:numPr>
          <w:ilvl w:val="0"/>
          <w:numId w:val="1005"/>
        </w:numPr>
      </w:pPr>
      <w:r>
        <w:t xml:space="preserve">Even a full year of 5% quarterly redemptions with no inflows was estimated to reduce fee-paying AUM by only about 1%.</w:t>
      </w:r>
    </w:p>
    <w:p>
      <w:pPr>
        <w:pStyle w:val="Compact"/>
        <w:numPr>
          <w:ilvl w:val="0"/>
          <w:numId w:val="1005"/>
        </w:numPr>
      </w:pPr>
      <w:r>
        <w:t xml:space="preserve">Loans not allocated to wealth vehicles can generally be placed in institutional funds, traded vehicles or separately managed accounts.</w:t>
      </w:r>
    </w:p>
    <w:p>
      <w:pPr>
        <w:pStyle w:val="FirstParagraph"/>
      </w:pPr>
      <w:r>
        <w:t xml:space="preserve">The Q2 wealth fundraising disclosure supports this argument: total wealth fundraising remained fairly resilient because infrastructure, European direct lending, real estate and other strategies offset weaker U.S. private-credit demand.</w:t>
      </w:r>
    </w:p>
    <w:p>
      <w:pPr>
        <w:pStyle w:val="BodyText"/>
      </w:pPr>
      <w:r>
        <w:t xml:space="preserve">Investors should nevertheless watch:</w:t>
      </w:r>
    </w:p>
    <w:p>
      <w:pPr>
        <w:pStyle w:val="Compact"/>
        <w:numPr>
          <w:ilvl w:val="0"/>
          <w:numId w:val="1006"/>
        </w:numPr>
      </w:pPr>
      <w:r>
        <w:t xml:space="preserve">Gross versus net wealth flows.</w:t>
      </w:r>
    </w:p>
    <w:p>
      <w:pPr>
        <w:pStyle w:val="Compact"/>
        <w:numPr>
          <w:ilvl w:val="0"/>
          <w:numId w:val="1006"/>
        </w:numPr>
      </w:pPr>
      <w:r>
        <w:t xml:space="preserve">The size and composition of redemption queues.</w:t>
      </w:r>
    </w:p>
    <w:p>
      <w:pPr>
        <w:pStyle w:val="Compact"/>
        <w:numPr>
          <w:ilvl w:val="0"/>
          <w:numId w:val="1006"/>
        </w:numPr>
      </w:pPr>
      <w:r>
        <w:t xml:space="preserve">Whether private-credit redemption requests remain concentrated among a small number of family offices and institutions.</w:t>
      </w:r>
    </w:p>
    <w:p>
      <w:pPr>
        <w:pStyle w:val="Compact"/>
        <w:numPr>
          <w:ilvl w:val="0"/>
          <w:numId w:val="1006"/>
        </w:numPr>
      </w:pPr>
      <w:r>
        <w:t xml:space="preserve">Whether infrastructure and real-estate inflows remain strong after their recent acceleration.</w:t>
      </w:r>
    </w:p>
    <w:p>
      <w:pPr>
        <w:pStyle w:val="FirstParagraph"/>
      </w:pPr>
      <w:r>
        <w:t xml:space="preserve">The bull case requires Ares to demonstrate that wealth-channel weakness is a</w:t>
      </w:r>
      <w:r>
        <w:t xml:space="preserve"> </w:t>
      </w:r>
      <w:r>
        <w:rPr>
          <w:b/>
          <w:bCs/>
        </w:rPr>
        <w:t xml:space="preserve">product-specific mix shift</w:t>
      </w:r>
      <w:r>
        <w:t xml:space="preserve">, not a broad rejection of its platform.</w:t>
      </w:r>
    </w:p>
    <w:bookmarkEnd w:id="14"/>
    <w:bookmarkStart w:id="15" w:name="X968075d005fa0820c4484c182d2b329074117c4"/>
    <w:p>
      <w:pPr>
        <w:pStyle w:val="Heading3"/>
      </w:pPr>
      <w:r>
        <w:t xml:space="preserve">4. Credit quality and software exposure</w:t>
      </w:r>
    </w:p>
    <w:p>
      <w:pPr>
        <w:pStyle w:val="FirstParagraph"/>
      </w:pPr>
      <w:r>
        <w:t xml:space="preserve">Credit quality is likely to dominate the call even though Ares’ management-company earnings are primarily fee-driven.</w:t>
      </w:r>
    </w:p>
    <w:p>
      <w:pPr>
        <w:pStyle w:val="BodyText"/>
      </w:pPr>
      <w:r>
        <w:t xml:space="preserve">ARCC’s Q2 results provided a relatively reassuring read-through:</w:t>
      </w:r>
    </w:p>
    <w:p>
      <w:pPr>
        <w:pStyle w:val="Compact"/>
        <w:numPr>
          <w:ilvl w:val="0"/>
          <w:numId w:val="1007"/>
        </w:numPr>
      </w:pPr>
      <w:r>
        <w:t xml:space="preserve">Portfolio-company organic EBITDA increased approximately 8%.</w:t>
      </w:r>
    </w:p>
    <w:p>
      <w:pPr>
        <w:pStyle w:val="Compact"/>
        <w:numPr>
          <w:ilvl w:val="0"/>
          <w:numId w:val="1007"/>
        </w:numPr>
      </w:pPr>
      <w:r>
        <w:t xml:space="preserve">Interest coverage and leverage remained near historical averages.</w:t>
      </w:r>
    </w:p>
    <w:p>
      <w:pPr>
        <w:pStyle w:val="Compact"/>
        <w:numPr>
          <w:ilvl w:val="0"/>
          <w:numId w:val="1007"/>
        </w:numPr>
      </w:pPr>
      <w:r>
        <w:t xml:space="preserve">Average equity cushions exceeded 50%.</w:t>
      </w:r>
    </w:p>
    <w:p>
      <w:pPr>
        <w:pStyle w:val="Compact"/>
        <w:numPr>
          <w:ilvl w:val="0"/>
          <w:numId w:val="1007"/>
        </w:numPr>
      </w:pPr>
      <w:r>
        <w:t xml:space="preserve">Nonaccruals rose modestly to 2.4% of cost but remained below ARCC’s historical average.</w:t>
      </w:r>
    </w:p>
    <w:p>
      <w:pPr>
        <w:pStyle w:val="Compact"/>
        <w:numPr>
          <w:ilvl w:val="0"/>
          <w:numId w:val="1007"/>
        </w:numPr>
      </w:pPr>
      <w:r>
        <w:t xml:space="preserve">Software-company EBITDA growth exceeded the broader portfolio average.</w:t>
      </w:r>
    </w:p>
    <w:p>
      <w:pPr>
        <w:pStyle w:val="Compact"/>
        <w:numPr>
          <w:ilvl w:val="0"/>
          <w:numId w:val="1007"/>
        </w:numPr>
      </w:pPr>
      <w:r>
        <w:t xml:space="preserve">Only one small software loan was on nonaccrual.</w:t>
      </w:r>
    </w:p>
    <w:p>
      <w:pPr>
        <w:pStyle w:val="FirstParagraph"/>
      </w:pPr>
      <w:r>
        <w:t xml:space="preserve">Ares previously disclosed that software represents about 6% of firmwide AUM and less than 8% of private-credit AUM. An independent portfolio review classified 86% of its software exposure as low risk from potential AI disruption, 13% as medium risk and 1% as high risk.</w:t>
      </w:r>
    </w:p>
    <w:p>
      <w:pPr>
        <w:pStyle w:val="BodyText"/>
      </w:pPr>
      <w:r>
        <w:t xml:space="preserve">The market will want updated evidence that:</w:t>
      </w:r>
    </w:p>
    <w:p>
      <w:pPr>
        <w:pStyle w:val="Compact"/>
        <w:numPr>
          <w:ilvl w:val="0"/>
          <w:numId w:val="1008"/>
        </w:numPr>
      </w:pPr>
      <w:r>
        <w:t xml:space="preserve">Nonaccruals are normalizing rather than accelerating.</w:t>
      </w:r>
    </w:p>
    <w:p>
      <w:pPr>
        <w:pStyle w:val="Compact"/>
        <w:numPr>
          <w:ilvl w:val="0"/>
          <w:numId w:val="1008"/>
        </w:numPr>
      </w:pPr>
      <w:r>
        <w:t xml:space="preserve">Credit issues remain company-specific.</w:t>
      </w:r>
    </w:p>
    <w:p>
      <w:pPr>
        <w:pStyle w:val="Compact"/>
        <w:numPr>
          <w:ilvl w:val="0"/>
          <w:numId w:val="1008"/>
        </w:numPr>
      </w:pPr>
      <w:r>
        <w:t xml:space="preserve">Marks reflect wider market spreads more than fundamental deterioration.</w:t>
      </w:r>
    </w:p>
    <w:p>
      <w:pPr>
        <w:pStyle w:val="Compact"/>
        <w:numPr>
          <w:ilvl w:val="0"/>
          <w:numId w:val="1008"/>
        </w:numPr>
      </w:pPr>
      <w:r>
        <w:t xml:space="preserve">Sponsors continue contributing equity to challenged companies.</w:t>
      </w:r>
    </w:p>
    <w:p>
      <w:pPr>
        <w:pStyle w:val="Compact"/>
        <w:numPr>
          <w:ilvl w:val="0"/>
          <w:numId w:val="1008"/>
        </w:numPr>
      </w:pPr>
      <w:r>
        <w:t xml:space="preserve">Software exposure remains supported by low loan-to-value ratios and durable recurring revenue.</w:t>
      </w:r>
    </w:p>
    <w:bookmarkEnd w:id="15"/>
    <w:bookmarkStart w:id="16" w:name="X6d8b94309127f7de36f0412c05b5f17f52ff96a"/>
    <w:p>
      <w:pPr>
        <w:pStyle w:val="Heading3"/>
      </w:pPr>
      <w:r>
        <w:t xml:space="preserve">5. Margins and the 2026 financial framework</w:t>
      </w:r>
    </w:p>
    <w:p>
      <w:pPr>
        <w:pStyle w:val="FirstParagraph"/>
      </w:pPr>
      <w:r>
        <w:t xml:space="preserve">Ares entered Q2 targeting: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16%–20% annual FRE growth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20%–25% realized-income growth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20% dividend growth</w:t>
      </w:r>
    </w:p>
    <w:p>
      <w:pPr>
        <w:pStyle w:val="Compact"/>
        <w:numPr>
          <w:ilvl w:val="0"/>
          <w:numId w:val="1009"/>
        </w:numPr>
      </w:pPr>
      <w:r>
        <w:t xml:space="preserve">Annual FRE margin expansion within a</w:t>
      </w:r>
      <w:r>
        <w:t xml:space="preserve"> </w:t>
      </w:r>
      <w:r>
        <w:rPr>
          <w:b/>
          <w:bCs/>
        </w:rPr>
        <w:t xml:space="preserve">0–150 basis-point range</w:t>
      </w:r>
      <w:r>
        <w:t xml:space="preserve">, with 2026 expected near the upper end</w:t>
      </w:r>
    </w:p>
    <w:p>
      <w:pPr>
        <w:pStyle w:val="FirstParagraph"/>
      </w:pPr>
      <w:r>
        <w:t xml:space="preserve">Q1 FRE growth of 26% and 90 basis points of margin expansion put Ares ahead of that framework. Management has also said its data-center platform should shift from an FRE drag to a contributor as the new fund begins charging fees on committed capital.</w:t>
      </w:r>
    </w:p>
    <w:p>
      <w:pPr>
        <w:pStyle w:val="BodyText"/>
      </w:pPr>
      <w:r>
        <w:t xml:space="preserve">The key questions are:</w:t>
      </w:r>
    </w:p>
    <w:p>
      <w:pPr>
        <w:pStyle w:val="Compact"/>
        <w:numPr>
          <w:ilvl w:val="0"/>
          <w:numId w:val="1010"/>
        </w:numPr>
      </w:pPr>
      <w:r>
        <w:t xml:space="preserve">Does management still expect upper-end margin expansion?</w:t>
      </w:r>
    </w:p>
    <w:p>
      <w:pPr>
        <w:pStyle w:val="Compact"/>
        <w:numPr>
          <w:ilvl w:val="0"/>
          <w:numId w:val="1010"/>
        </w:numPr>
      </w:pPr>
      <w:r>
        <w:t xml:space="preserve">Are GCP integration efficiencies arriving as planned?</w:t>
      </w:r>
    </w:p>
    <w:p>
      <w:pPr>
        <w:pStyle w:val="Compact"/>
        <w:numPr>
          <w:ilvl w:val="0"/>
          <w:numId w:val="1010"/>
        </w:numPr>
      </w:pPr>
      <w:r>
        <w:t xml:space="preserve">Is AI-driven productivity showing up in operating leverage, or are savings being fully reinvested?</w:t>
      </w:r>
    </w:p>
    <w:p>
      <w:pPr>
        <w:pStyle w:val="Compact"/>
        <w:numPr>
          <w:ilvl w:val="0"/>
          <w:numId w:val="1010"/>
        </w:numPr>
      </w:pPr>
      <w:r>
        <w:t xml:space="preserve">How much Q2 expense seasonality came from the annual investor meeting?</w:t>
      </w:r>
    </w:p>
    <w:p>
      <w:pPr>
        <w:pStyle w:val="Compact"/>
        <w:numPr>
          <w:ilvl w:val="0"/>
          <w:numId w:val="1010"/>
        </w:numPr>
      </w:pPr>
      <w:r>
        <w:t xml:space="preserve">Does the company reaffirm its 2026 growth framework despite slower transaction activity?</w:t>
      </w:r>
    </w:p>
    <w:bookmarkEnd w:id="16"/>
    <w:bookmarkEnd w:id="17"/>
    <w:bookmarkStart w:id="20" w:name="X0ddf769c6fbcbc8adb3bb92cdf07608cc9ca1e6"/>
    <w:p>
      <w:pPr>
        <w:pStyle w:val="Heading2"/>
      </w:pPr>
      <w:r>
        <w:t xml:space="preserve">Other catalysts and potential distractions</w:t>
      </w:r>
    </w:p>
    <w:bookmarkStart w:id="18" w:name="digital-infrastructure"/>
    <w:p>
      <w:pPr>
        <w:pStyle w:val="Heading3"/>
      </w:pPr>
      <w:r>
        <w:t xml:space="preserve">Digital infrastructure</w:t>
      </w:r>
    </w:p>
    <w:p>
      <w:pPr>
        <w:pStyle w:val="FirstParagraph"/>
      </w:pPr>
      <w:r>
        <w:t xml:space="preserve">Ares is building a global data-center equity strategy around the development capabilities acquired with GCP International. The platform came with roughly 750 megawatts of seed projects, focused on large, pre-leased hyperscale campuses in major markets.</w:t>
      </w:r>
    </w:p>
    <w:p>
      <w:pPr>
        <w:pStyle w:val="BodyText"/>
      </w:pPr>
      <w:r>
        <w:t xml:space="preserve">Management had expected a significant first close during the summer. Investors should listen for:</w:t>
      </w:r>
    </w:p>
    <w:p>
      <w:pPr>
        <w:pStyle w:val="Compact"/>
        <w:numPr>
          <w:ilvl w:val="0"/>
          <w:numId w:val="1011"/>
        </w:numPr>
      </w:pPr>
      <w:r>
        <w:t xml:space="preserve">The amount and timing of the first close.</w:t>
      </w:r>
    </w:p>
    <w:p>
      <w:pPr>
        <w:pStyle w:val="Compact"/>
        <w:numPr>
          <w:ilvl w:val="0"/>
          <w:numId w:val="1011"/>
        </w:numPr>
      </w:pPr>
      <w:r>
        <w:t xml:space="preserve">When the fund begins contributing meaningfully to management fees.</w:t>
      </w:r>
    </w:p>
    <w:p>
      <w:pPr>
        <w:pStyle w:val="Compact"/>
        <w:numPr>
          <w:ilvl w:val="0"/>
          <w:numId w:val="1011"/>
        </w:numPr>
      </w:pPr>
      <w:r>
        <w:t xml:space="preserve">Leasing progress on seed projects.</w:t>
      </w:r>
    </w:p>
    <w:p>
      <w:pPr>
        <w:pStyle w:val="Compact"/>
        <w:numPr>
          <w:ilvl w:val="0"/>
          <w:numId w:val="1011"/>
        </w:numPr>
      </w:pPr>
      <w:r>
        <w:t xml:space="preserve">Development and power constraints.</w:t>
      </w:r>
    </w:p>
    <w:p>
      <w:pPr>
        <w:pStyle w:val="Compact"/>
        <w:numPr>
          <w:ilvl w:val="0"/>
          <w:numId w:val="1011"/>
        </w:numPr>
      </w:pPr>
      <w:r>
        <w:t xml:space="preserve">Ares’ balance-sheet exposure before third-party capital is raised.</w:t>
      </w:r>
    </w:p>
    <w:bookmarkEnd w:id="18"/>
    <w:bookmarkStart w:id="19" w:name="strategic-ma"/>
    <w:p>
      <w:pPr>
        <w:pStyle w:val="Heading3"/>
      </w:pPr>
      <w:r>
        <w:t xml:space="preserve">Strategic M&amp;A</w:t>
      </w:r>
    </w:p>
    <w:p>
      <w:pPr>
        <w:pStyle w:val="FirstParagraph"/>
      </w:pPr>
      <w:r>
        <w:t xml:space="preserve">Recent reports indicate Ares has held discussions about acquiring Leonard Green, which would dramatically expand Ares’ relatively small private-equity business. There has been no announced transaction, but the subject may overshadow the quarterly numbers.</w:t>
      </w:r>
    </w:p>
    <w:p>
      <w:pPr>
        <w:pStyle w:val="BodyText"/>
      </w:pPr>
      <w:r>
        <w:t xml:space="preserve">Any management commentary should be evaluated against:</w:t>
      </w:r>
    </w:p>
    <w:p>
      <w:pPr>
        <w:pStyle w:val="Compact"/>
        <w:numPr>
          <w:ilvl w:val="0"/>
          <w:numId w:val="1012"/>
        </w:numPr>
      </w:pPr>
      <w:r>
        <w:t xml:space="preserve">Acquisition price and financing.</w:t>
      </w:r>
    </w:p>
    <w:p>
      <w:pPr>
        <w:pStyle w:val="Compact"/>
        <w:numPr>
          <w:ilvl w:val="0"/>
          <w:numId w:val="1012"/>
        </w:numPr>
      </w:pPr>
      <w:r>
        <w:t xml:space="preserve">Employee retention and compensation.</w:t>
      </w:r>
    </w:p>
    <w:p>
      <w:pPr>
        <w:pStyle w:val="Compact"/>
        <w:numPr>
          <w:ilvl w:val="0"/>
          <w:numId w:val="1012"/>
        </w:numPr>
      </w:pPr>
      <w:r>
        <w:t xml:space="preserve">Impact on margins and share count.</w:t>
      </w:r>
    </w:p>
    <w:p>
      <w:pPr>
        <w:pStyle w:val="Compact"/>
        <w:numPr>
          <w:ilvl w:val="0"/>
          <w:numId w:val="1012"/>
        </w:numPr>
      </w:pPr>
      <w:r>
        <w:t xml:space="preserve">Cultural and investment-process integration.</w:t>
      </w:r>
    </w:p>
    <w:p>
      <w:pPr>
        <w:pStyle w:val="Compact"/>
        <w:numPr>
          <w:ilvl w:val="0"/>
          <w:numId w:val="1012"/>
        </w:numPr>
      </w:pPr>
      <w:r>
        <w:t xml:space="preserve">Whether a deal would preserve Ares’ asset-light financial model.</w:t>
      </w:r>
    </w:p>
    <w:bookmarkEnd w:id="19"/>
    <w:bookmarkEnd w:id="20"/>
    <w:bookmarkStart w:id="24" w:name="how-to-interpret-the-report"/>
    <w:p>
      <w:pPr>
        <w:pStyle w:val="Heading2"/>
      </w:pPr>
      <w:r>
        <w:t xml:space="preserve">How to interpret the report</w:t>
      </w:r>
    </w:p>
    <w:bookmarkStart w:id="21" w:name="bullish-outcome"/>
    <w:p>
      <w:pPr>
        <w:pStyle w:val="Heading3"/>
      </w:pPr>
      <w:r>
        <w:t xml:space="preserve">Bullish outcome</w:t>
      </w:r>
    </w:p>
    <w:p>
      <w:pPr>
        <w:pStyle w:val="Compact"/>
        <w:numPr>
          <w:ilvl w:val="0"/>
          <w:numId w:val="1013"/>
        </w:numPr>
      </w:pPr>
      <w:r>
        <w:t xml:space="preserve">Fee-paying AUM and management fees continue growing in the high teens or better.</w:t>
      </w:r>
    </w:p>
    <w:p>
      <w:pPr>
        <w:pStyle w:val="Compact"/>
        <w:numPr>
          <w:ilvl w:val="0"/>
          <w:numId w:val="1013"/>
        </w:numPr>
      </w:pPr>
      <w:r>
        <w:t xml:space="preserve">FRE growth remains above the long-term target, with further margin expansion.</w:t>
      </w:r>
    </w:p>
    <w:p>
      <w:pPr>
        <w:pStyle w:val="Compact"/>
        <w:numPr>
          <w:ilvl w:val="0"/>
          <w:numId w:val="1013"/>
        </w:numPr>
      </w:pPr>
      <w:r>
        <w:t xml:space="preserve">Fundraising remains broad-based and management reiterates another record year.</w:t>
      </w:r>
    </w:p>
    <w:p>
      <w:pPr>
        <w:pStyle w:val="Compact"/>
        <w:numPr>
          <w:ilvl w:val="0"/>
          <w:numId w:val="1013"/>
        </w:numPr>
      </w:pPr>
      <w:r>
        <w:t xml:space="preserve">Wealth redemptions are contained and infrastructure inflows remain strong.</w:t>
      </w:r>
    </w:p>
    <w:p>
      <w:pPr>
        <w:pStyle w:val="Compact"/>
        <w:numPr>
          <w:ilvl w:val="0"/>
          <w:numId w:val="1013"/>
        </w:numPr>
      </w:pPr>
      <w:r>
        <w:t xml:space="preserve">Deployment pipelines convert into a stronger Q3 outlook.</w:t>
      </w:r>
    </w:p>
    <w:p>
      <w:pPr>
        <w:pStyle w:val="Compact"/>
        <w:numPr>
          <w:ilvl w:val="0"/>
          <w:numId w:val="1013"/>
        </w:numPr>
      </w:pPr>
      <w:r>
        <w:t xml:space="preserve">Credit quality remains stable, with no broad software deterioration.</w:t>
      </w:r>
    </w:p>
    <w:p>
      <w:pPr>
        <w:pStyle w:val="Compact"/>
        <w:numPr>
          <w:ilvl w:val="0"/>
          <w:numId w:val="1013"/>
        </w:numPr>
      </w:pPr>
      <w:r>
        <w:t xml:space="preserve">The data-center fund reaches a meaningful first close.</w:t>
      </w:r>
    </w:p>
    <w:bookmarkEnd w:id="21"/>
    <w:bookmarkStart w:id="22" w:name="mixed-outcome"/>
    <w:p>
      <w:pPr>
        <w:pStyle w:val="Heading3"/>
      </w:pPr>
      <w:r>
        <w:t xml:space="preserve">Mixed outcome</w:t>
      </w:r>
    </w:p>
    <w:p>
      <w:pPr>
        <w:pStyle w:val="Compact"/>
        <w:numPr>
          <w:ilvl w:val="0"/>
          <w:numId w:val="1014"/>
        </w:numPr>
      </w:pPr>
      <w:r>
        <w:t xml:space="preserve">Core fee growth remains strong, but Q2 deployment and net flows are softer.</w:t>
      </w:r>
    </w:p>
    <w:p>
      <w:pPr>
        <w:pStyle w:val="Compact"/>
        <w:numPr>
          <w:ilvl w:val="0"/>
          <w:numId w:val="1014"/>
        </w:numPr>
      </w:pPr>
      <w:r>
        <w:t xml:space="preserve">Performance income clears the preannounced floor without much upside.</w:t>
      </w:r>
    </w:p>
    <w:p>
      <w:pPr>
        <w:pStyle w:val="Compact"/>
        <w:numPr>
          <w:ilvl w:val="0"/>
          <w:numId w:val="1014"/>
        </w:numPr>
      </w:pPr>
      <w:r>
        <w:t xml:space="preserve">Management maintains annual targets but relies on a second-half deployment recovery.</w:t>
      </w:r>
    </w:p>
    <w:p>
      <w:pPr>
        <w:pStyle w:val="Compact"/>
        <w:numPr>
          <w:ilvl w:val="0"/>
          <w:numId w:val="1014"/>
        </w:numPr>
      </w:pPr>
      <w:r>
        <w:t xml:space="preserve">Wealth flows are positive in aggregate, while private-credit redemptions remain elevated.</w:t>
      </w:r>
    </w:p>
    <w:p>
      <w:pPr>
        <w:pStyle w:val="FirstParagraph"/>
      </w:pPr>
      <w:r>
        <w:t xml:space="preserve">This would keep the long-term growth thesis intact but leave investors waiting for proof that dry powder is converting into fee revenue.</w:t>
      </w:r>
    </w:p>
    <w:bookmarkEnd w:id="22"/>
    <w:bookmarkStart w:id="23" w:name="bearish-outcome"/>
    <w:p>
      <w:pPr>
        <w:pStyle w:val="Heading3"/>
      </w:pPr>
      <w:r>
        <w:t xml:space="preserve">Bearish outcome</w:t>
      </w:r>
    </w:p>
    <w:p>
      <w:pPr>
        <w:pStyle w:val="Compact"/>
        <w:numPr>
          <w:ilvl w:val="0"/>
          <w:numId w:val="1015"/>
        </w:numPr>
      </w:pPr>
      <w:r>
        <w:t xml:space="preserve">Fee-paying AUM growth falls materially below the high teens.</w:t>
      </w:r>
    </w:p>
    <w:p>
      <w:pPr>
        <w:pStyle w:val="Compact"/>
        <w:numPr>
          <w:ilvl w:val="0"/>
          <w:numId w:val="1015"/>
        </w:numPr>
      </w:pPr>
      <w:r>
        <w:t xml:space="preserve">Redemptions spread beyond a few private-credit vehicles.</w:t>
      </w:r>
    </w:p>
    <w:p>
      <w:pPr>
        <w:pStyle w:val="Compact"/>
        <w:numPr>
          <w:ilvl w:val="0"/>
          <w:numId w:val="1015"/>
        </w:numPr>
      </w:pPr>
      <w:r>
        <w:t xml:space="preserve">Management lowers its margin or FRE-growth expectations.</w:t>
      </w:r>
    </w:p>
    <w:p>
      <w:pPr>
        <w:pStyle w:val="Compact"/>
        <w:numPr>
          <w:ilvl w:val="0"/>
          <w:numId w:val="1015"/>
        </w:numPr>
      </w:pPr>
      <w:r>
        <w:t xml:space="preserve">Deployment remains weak with limited evidence of Q3 conversion.</w:t>
      </w:r>
    </w:p>
    <w:p>
      <w:pPr>
        <w:pStyle w:val="Compact"/>
        <w:numPr>
          <w:ilvl w:val="0"/>
          <w:numId w:val="1015"/>
        </w:numPr>
      </w:pPr>
      <w:r>
        <w:t xml:space="preserve">Nonaccruals, markdowns or software stress accelerate.</w:t>
      </w:r>
    </w:p>
    <w:p>
      <w:pPr>
        <w:pStyle w:val="Compact"/>
        <w:numPr>
          <w:ilvl w:val="0"/>
          <w:numId w:val="1015"/>
        </w:numPr>
      </w:pPr>
      <w:r>
        <w:t xml:space="preserve">The digital-infrastructure strategy requires more balance-sheet capital or takes longer to become profitable.</w:t>
      </w:r>
    </w:p>
    <w:bookmarkEnd w:id="23"/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quarter is unlikely to turn on headline EPS. The critical test is whether Ares can show that</w:t>
      </w:r>
      <w:r>
        <w:t xml:space="preserve"> </w:t>
      </w:r>
      <w:r>
        <w:rPr>
          <w:b/>
          <w:bCs/>
        </w:rPr>
        <w:t xml:space="preserve">institutional fundraising, diversified wealth products and undeployed fee-eligible capital continue to support high-teens fee growth despite slower U.S. direct-lending activity</w:t>
      </w:r>
      <w:r>
        <w:t xml:space="preserve">.</w:t>
      </w:r>
    </w:p>
    <w:p>
      <w:pPr>
        <w:pStyle w:val="BodyText"/>
      </w:pPr>
      <w:r>
        <w:t xml:space="preserve">The preannounced performance income, Pathfinder III close and resilient Q2 wealth fundraising create a constructive starting point. The main uncertainty is deployment: reported Q2 activity may be soft, but improving June and July pipelines could support a better second half. A clean reaffirmation of the FRE, margin and dividend framework—combined with contained redemptions and stable credit quality—would likely be the most important positive signal.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2026-07-31T00:21:02Z</dcterms:created>
  <dcterms:modified xsi:type="dcterms:W3CDTF">2026-07-31T00:21:02Z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