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2da7b726b554a2f0e7837f72aff4749df73dec"/>
    <w:p>
      <w:pPr>
        <w:pStyle w:val="Heading1"/>
      </w:pPr>
      <w:r>
        <w:t xml:space="preserve">Ares Management (NYSE: ARES) — Q2 2026 Earnings Preview</w:t>
      </w:r>
    </w:p>
    <w:p>
      <w:pPr>
        <w:pStyle w:val="BlockText"/>
      </w:pPr>
      <w:r>
        <w:rPr>
          <w:b/>
          <w:bCs/>
        </w:rPr>
        <w:t xml:space="preserve">Timing note:</w:t>
      </w:r>
      <w:r>
        <w:t xml:space="preserve"> </w:t>
      </w:r>
      <w:r>
        <w:t xml:space="preserve">The stated earnings date,</w:t>
      </w:r>
      <w:r>
        <w:t xml:space="preserve"> </w:t>
      </w:r>
      <w:r>
        <w:rPr>
          <w:b/>
          <w:bCs/>
        </w:rPr>
        <w:t xml:space="preserve">Friday, July 31, 2026</w:t>
      </w:r>
      <w:r>
        <w:t xml:space="preserve">, is</w:t>
      </w:r>
      <w:r>
        <w:t xml:space="preserve"> </w:t>
      </w:r>
      <w:r>
        <w:rPr>
          <w:b/>
          <w:bCs/>
        </w:rPr>
        <w:t xml:space="preserve">today</w:t>
      </w:r>
      <w:r>
        <w:t xml:space="preserve">, not tomorrow. This preview is therefore framed for the report and call expected today.</w:t>
      </w:r>
    </w:p>
    <w:bookmarkStart w:id="9" w:name="X70c319e4b7207e6bf6b656f257550aa57bf99c1"/>
    <w:p>
      <w:pPr>
        <w:pStyle w:val="Heading2"/>
      </w:pPr>
      <w:r>
        <w:t xml:space="preserve">Investment view: the setup remains about execution against a large embedded-growth backlog</w:t>
      </w:r>
    </w:p>
    <w:p>
      <w:pPr>
        <w:pStyle w:val="FirstParagraph"/>
      </w:pPr>
      <w:r>
        <w:t xml:space="preserve">Ares enters Q2 with strong operating momentum: record-scale fundraising, substantial dry powder, expanding fee-paying AUM and an earnings model increasingly weighted toward recurring management fees. The central investor question is not whether Ares can report growth versus last year—it likely can—but whether it can</w:t>
      </w:r>
      <w:r>
        <w:t xml:space="preserve"> </w:t>
      </w:r>
      <w:r>
        <w:rPr>
          <w:b/>
          <w:bCs/>
        </w:rPr>
        <w:t xml:space="preserve">sustain high-teens fee-paying AUM growth, convert dry powder into deployment and fees, and contain the effects of retail/private-credit redemption noise</w:t>
      </w:r>
      <w:r>
        <w:t xml:space="preserve">.</w:t>
      </w:r>
    </w:p>
    <w:p>
      <w:pPr>
        <w:pStyle w:val="BodyText"/>
      </w:pPr>
      <w:r>
        <w:t xml:space="preserve">The stock closed at</w:t>
      </w:r>
      <w:r>
        <w:t xml:space="preserve"> </w:t>
      </w:r>
      <w:r>
        <w:rPr>
          <w:b/>
          <w:bCs/>
        </w:rPr>
        <w:t xml:space="preserve">$124.15 on July 30</w:t>
      </w:r>
      <w:r>
        <w:t xml:space="preserve">, up roughly</w:t>
      </w:r>
      <w:r>
        <w:t xml:space="preserve"> </w:t>
      </w:r>
      <w:r>
        <w:rPr>
          <w:b/>
          <w:bCs/>
        </w:rPr>
        <w:t xml:space="preserve">5.7%</w:t>
      </w:r>
      <w:r>
        <w:t xml:space="preserve"> </w:t>
      </w:r>
      <w:r>
        <w:t xml:space="preserve">from April 30 but about</w:t>
      </w:r>
      <w:r>
        <w:t xml:space="preserve"> </w:t>
      </w:r>
      <w:r>
        <w:rPr>
          <w:b/>
          <w:bCs/>
        </w:rPr>
        <w:t xml:space="preserve">8.3% below</w:t>
      </w:r>
      <w:r>
        <w:t xml:space="preserve"> </w:t>
      </w:r>
      <w:r>
        <w:t xml:space="preserve">its June 15 high. At the current quarterly dividend rate of $1.35 per share, the indicated annualized yield is approximately</w:t>
      </w:r>
      <w:r>
        <w:t xml:space="preserve"> </w:t>
      </w:r>
      <w:r>
        <w:rPr>
          <w:b/>
          <w:bCs/>
        </w:rPr>
        <w:t xml:space="preserve">4.35%</w:t>
      </w:r>
      <w:r>
        <w:t xml:space="preserve">.</w:t>
      </w:r>
    </w:p>
    <w:bookmarkEnd w:id="9"/>
    <w:bookmarkStart w:id="16" w:name="what-matters-most-in-the-q2-print"/>
    <w:p>
      <w:pPr>
        <w:pStyle w:val="Heading2"/>
      </w:pPr>
      <w:r>
        <w:t xml:space="preserve">What matters most in the Q2 print</w:t>
      </w:r>
    </w:p>
    <w:bookmarkStart w:id="11" w:name="X0802c8c220150dfe7e8c6bbf2d2a26aac068e6c"/>
    <w:p>
      <w:pPr>
        <w:pStyle w:val="Heading3"/>
      </w:pPr>
      <w:r>
        <w:t xml:space="preserve">1. Fundraising: can Ares maintain “record year” momentum?</w:t>
      </w:r>
    </w:p>
    <w:p>
      <w:pPr>
        <w:pStyle w:val="FirstParagraph"/>
      </w:pPr>
      <w:r>
        <w:t xml:space="preserve">Q1 set a high bar: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Q1 2026 metric</w:t>
            </w:r>
          </w:p>
        </w:tc>
        <w:tc>
          <w:tcPr/>
          <w:p>
            <w:pPr>
              <w:pStyle w:val="Compact"/>
              <w:jc w:val="right"/>
            </w:pPr>
            <w:r>
              <w:t xml:space="preserve">Result</w:t>
            </w:r>
          </w:p>
        </w:tc>
        <w:tc>
          <w:tcPr/>
          <w:p>
            <w:pPr>
              <w:pStyle w:val="Compact"/>
              <w:jc w:val="right"/>
            </w:pPr>
            <w:r>
              <w:t xml:space="preserve">YoY change</w:t>
            </w:r>
          </w:p>
        </w:tc>
      </w:tr>
      <w:tr>
        <w:tc>
          <w:tcPr/>
          <w:p>
            <w:pPr>
              <w:pStyle w:val="Compact"/>
            </w:pPr>
            <w:r>
              <w:t xml:space="preserve">Gross capital raised</w:t>
            </w:r>
          </w:p>
        </w:tc>
        <w:tc>
          <w:tcPr/>
          <w:p>
            <w:pPr>
              <w:pStyle w:val="Compact"/>
              <w:jc w:val="right"/>
            </w:pPr>
            <w:r>
              <w:rPr>
                <w:b/>
                <w:bCs/>
              </w:rPr>
              <w:t xml:space="preserve">$29.5B</w:t>
            </w:r>
          </w:p>
        </w:tc>
        <w:tc>
          <w:tcPr/>
          <w:p>
            <w:pPr>
              <w:pStyle w:val="Compact"/>
              <w:jc w:val="right"/>
            </w:pPr>
            <w:r>
              <w:t xml:space="preserve">Record first quarter</w:t>
            </w:r>
          </w:p>
        </w:tc>
      </w:tr>
      <w:tr>
        <w:tc>
          <w:tcPr/>
          <w:p>
            <w:pPr>
              <w:pStyle w:val="Compact"/>
            </w:pPr>
            <w:r>
              <w:t xml:space="preserve">Net inflows</w:t>
            </w:r>
          </w:p>
        </w:tc>
        <w:tc>
          <w:tcPr/>
          <w:p>
            <w:pPr>
              <w:pStyle w:val="Compact"/>
              <w:jc w:val="right"/>
            </w:pPr>
            <w:r>
              <w:rPr>
                <w:b/>
                <w:bCs/>
              </w:rPr>
              <w:t xml:space="preserve">$27.9B</w:t>
            </w:r>
          </w:p>
        </w:tc>
        <w:tc>
          <w:tcPr/>
          <w:p>
            <w:pPr>
              <w:pStyle w:val="Compact"/>
              <w:jc w:val="right"/>
            </w:pPr>
            <w:r>
              <w:t xml:space="preserve">—</w:t>
            </w:r>
          </w:p>
        </w:tc>
      </w:tr>
      <w:tr>
        <w:tc>
          <w:tcPr/>
          <w:p>
            <w:pPr>
              <w:pStyle w:val="Compact"/>
            </w:pPr>
            <w:r>
              <w:t xml:space="preserve">AUM</w:t>
            </w:r>
          </w:p>
        </w:tc>
        <w:tc>
          <w:tcPr/>
          <w:p>
            <w:pPr>
              <w:pStyle w:val="Compact"/>
              <w:jc w:val="right"/>
            </w:pPr>
            <w:r>
              <w:rPr>
                <w:b/>
                <w:bCs/>
              </w:rPr>
              <w:t xml:space="preserve">$644.3B</w:t>
            </w:r>
          </w:p>
        </w:tc>
        <w:tc>
          <w:tcPr/>
          <w:p>
            <w:pPr>
              <w:pStyle w:val="Compact"/>
              <w:jc w:val="right"/>
            </w:pPr>
            <w:r>
              <w:rPr>
                <w:b/>
                <w:bCs/>
              </w:rPr>
              <w:t xml:space="preserve">+18%</w:t>
            </w:r>
          </w:p>
        </w:tc>
      </w:tr>
      <w:tr>
        <w:tc>
          <w:tcPr/>
          <w:p>
            <w:pPr>
              <w:pStyle w:val="Compact"/>
            </w:pPr>
            <w:r>
              <w:t xml:space="preserve">Fee-paying AUM</w:t>
            </w:r>
          </w:p>
        </w:tc>
        <w:tc>
          <w:tcPr/>
          <w:p>
            <w:pPr>
              <w:pStyle w:val="Compact"/>
              <w:jc w:val="right"/>
            </w:pPr>
            <w:r>
              <w:rPr>
                <w:b/>
                <w:bCs/>
              </w:rPr>
              <w:t xml:space="preserve">$399.6B</w:t>
            </w:r>
          </w:p>
        </w:tc>
        <w:tc>
          <w:tcPr/>
          <w:p>
            <w:pPr>
              <w:pStyle w:val="Compact"/>
              <w:jc w:val="right"/>
            </w:pPr>
            <w:r>
              <w:rPr>
                <w:b/>
                <w:bCs/>
              </w:rPr>
              <w:t xml:space="preserve">+19%</w:t>
            </w:r>
          </w:p>
        </w:tc>
      </w:tr>
      <w:tr>
        <w:tc>
          <w:tcPr/>
          <w:p>
            <w:pPr>
              <w:pStyle w:val="Compact"/>
            </w:pPr>
            <w:r>
              <w:t xml:space="preserve">Available capital / dry powder</w:t>
            </w:r>
          </w:p>
        </w:tc>
        <w:tc>
          <w:tcPr/>
          <w:p>
            <w:pPr>
              <w:pStyle w:val="Compact"/>
              <w:jc w:val="right"/>
            </w:pPr>
            <w:r>
              <w:rPr>
                <w:b/>
                <w:bCs/>
              </w:rPr>
              <w:t xml:space="preserve">$158.1B</w:t>
            </w:r>
          </w:p>
        </w:tc>
        <w:tc>
          <w:tcPr/>
          <w:p>
            <w:pPr>
              <w:pStyle w:val="Compact"/>
              <w:jc w:val="right"/>
            </w:pPr>
            <w:r>
              <w:rPr>
                <w:b/>
                <w:bCs/>
              </w:rPr>
              <w:t xml:space="preserve">+11%</w:t>
            </w:r>
          </w:p>
        </w:tc>
      </w:tr>
    </w:tbl>
    <w:p>
      <w:pPr>
        <w:pStyle w:val="BodyText"/>
      </w:pPr>
      <w:r>
        <w:t xml:space="preserve">The most important Q2 indicator will be whether institutional fundraising remains broad-based across direct lending, opportunistic and alternative credit, real estate, infrastructure and secondaries. Ares’ scale and product breadth matter: Credit represented roughly two-thirds of Q1 AUM, while real assets, infrastructure and secondaries provide meaningful diversification beyond U.S. direct lending. (</w:t>
      </w:r>
      <w:hyperlink r:id="rId10">
        <w:r>
          <w:rPr>
            <w:rStyle w:val="Hyperlink"/>
          </w:rPr>
          <w:t xml:space="preserve">aresmgmt.com</w:t>
        </w:r>
      </w:hyperlink>
      <w:r>
        <w:t xml:space="preserve">)</w:t>
      </w:r>
    </w:p>
    <w:p>
      <w:pPr>
        <w:pStyle w:val="BodyText"/>
      </w:pPr>
      <w:r>
        <w:rPr>
          <w:b/>
          <w:bCs/>
        </w:rPr>
        <w:t xml:space="preserve">What to listen for</w:t>
      </w:r>
    </w:p>
    <w:p>
      <w:pPr>
        <w:pStyle w:val="Compact"/>
        <w:numPr>
          <w:ilvl w:val="0"/>
          <w:numId w:val="1001"/>
        </w:numPr>
      </w:pPr>
      <w:r>
        <w:t xml:space="preserve">Final close and size of the alternative-credit fund, which management indicated was oversubscribed and expected to close at its hard cap in Q2.</w:t>
      </w:r>
    </w:p>
    <w:p>
      <w:pPr>
        <w:pStyle w:val="Compact"/>
        <w:numPr>
          <w:ilvl w:val="0"/>
          <w:numId w:val="1001"/>
        </w:numPr>
      </w:pPr>
      <w:r>
        <w:t xml:space="preserve">A first close for the global data-center equity fund, which management previously expected during the summer.</w:t>
      </w:r>
    </w:p>
    <w:p>
      <w:pPr>
        <w:pStyle w:val="Compact"/>
        <w:numPr>
          <w:ilvl w:val="0"/>
          <w:numId w:val="1001"/>
        </w:numPr>
      </w:pPr>
      <w:r>
        <w:t xml:space="preserve">Progress toward the planned launch/first close of the fourth Senior Direct Lending fund.</w:t>
      </w:r>
    </w:p>
    <w:p>
      <w:pPr>
        <w:pStyle w:val="Compact"/>
        <w:numPr>
          <w:ilvl w:val="0"/>
          <w:numId w:val="1001"/>
        </w:numPr>
      </w:pPr>
      <w:r>
        <w:t xml:space="preserve">Any update to the firm’s longer-term wealth fundraising objective.</w:t>
      </w:r>
    </w:p>
    <w:p>
      <w:pPr>
        <w:pStyle w:val="FirstParagraph"/>
      </w:pPr>
      <w:r>
        <w:rPr>
          <w:b/>
          <w:bCs/>
        </w:rPr>
        <w:t xml:space="preserve">Why it matters:</w:t>
      </w:r>
      <w:r>
        <w:t xml:space="preserve"> </w:t>
      </w:r>
      <w:r>
        <w:t xml:space="preserve">New commitments become management fees either immediately or as capital is deployed. Strong fundraising also preserves Ares’ ability to take share when markets are volatile.</w:t>
      </w:r>
    </w:p>
    <w:p>
      <w:r>
        <w:pict>
          <v:rect style="width:0;height:1.5pt" o:hralign="center" o:hrstd="t" o:hr="t"/>
        </w:pict>
      </w:r>
    </w:p>
    <w:bookmarkEnd w:id="11"/>
    <w:bookmarkStart w:id="12" w:name="X9642d06d79b33c09c89241c2b3bb65c601dec08"/>
    <w:p>
      <w:pPr>
        <w:pStyle w:val="Heading3"/>
      </w:pPr>
      <w:r>
        <w:t xml:space="preserve">2. Deployment: the key bridge from dry powder to earnings</w:t>
      </w:r>
    </w:p>
    <w:p>
      <w:pPr>
        <w:pStyle w:val="FirstParagraph"/>
      </w:pPr>
      <w:r>
        <w:t xml:space="preserve">Ares deployed</w:t>
      </w:r>
      <w:r>
        <w:t xml:space="preserve"> </w:t>
      </w:r>
      <m:oMath>
        <m:r>
          <m:t>32.3</m:t>
        </m:r>
        <m:r>
          <m:t>B</m:t>
        </m:r>
        <m:r>
          <m:rPr>
            <m:sty m:val="p"/>
          </m:rPr>
          <m:t>*</m:t>
        </m:r>
        <m:r>
          <m:rPr>
            <m:sty m:val="p"/>
          </m:rPr>
          <m:t>*</m:t>
        </m:r>
        <m:r>
          <m:t>i</m:t>
        </m:r>
        <m:r>
          <m:t>n</m:t>
        </m:r>
        <m:r>
          <m:t>Q</m:t>
        </m:r>
        <m:r>
          <m:t>1</m:t>
        </m:r>
        <m:r>
          <m:rPr>
            <m:sty m:val="p"/>
          </m:rPr>
          <m:t>,</m:t>
        </m:r>
        <m:r>
          <m:t>i</m:t>
        </m:r>
        <m:r>
          <m:t>n</m:t>
        </m:r>
        <m:r>
          <m:t>c</m:t>
        </m:r>
        <m:r>
          <m:t>l</m:t>
        </m:r>
        <m:r>
          <m:t>u</m:t>
        </m:r>
        <m:r>
          <m:t>d</m:t>
        </m:r>
        <m:r>
          <m:t>i</m:t>
        </m:r>
        <m:r>
          <m:t>n</m:t>
        </m:r>
        <m:r>
          <m:t>g</m:t>
        </m:r>
        <m:r>
          <m:rPr>
            <m:sty m:val="p"/>
          </m:rPr>
          <m:t>*</m:t>
        </m:r>
        <m:r>
          <m:rPr>
            <m:sty m:val="p"/>
          </m:rPr>
          <m:t>*</m:t>
        </m:r>
      </m:oMath>
      <w:r>
        <w:rPr>
          <w:b/>
          <w:bCs/>
        </w:rPr>
        <w:t xml:space="preserve">17.2B</w:t>
      </w:r>
      <w:r>
        <w:t xml:space="preserve"> </w:t>
      </w:r>
      <w:r>
        <w:t xml:space="preserve">through drawdown vehicles. Management described its aggregate investment pipeline as a record, with improving activity in U.S. direct lending late in Q1 and strength in European direct lending, alternative credit, infrastructure, real estate and secondaries.</w:t>
      </w:r>
    </w:p>
    <w:p>
      <w:pPr>
        <w:pStyle w:val="BodyText"/>
      </w:pPr>
      <w:r>
        <w:t xml:space="preserve">This should be the operational heart of the Q2 call. Ares had</w:t>
      </w:r>
      <w:r>
        <w:t xml:space="preserve"> </w:t>
      </w:r>
      <m:oMath>
        <m:r>
          <m:t>79.4</m:t>
        </m:r>
        <m:r>
          <m:t>B</m:t>
        </m:r>
        <m:r>
          <m:rPr>
            <m:sty m:val="p"/>
          </m:rPr>
          <m:t>*</m:t>
        </m:r>
        <m:r>
          <m:rPr>
            <m:sty m:val="p"/>
          </m:rPr>
          <m:t>*</m:t>
        </m:r>
        <m:r>
          <m:t>o</m:t>
        </m:r>
        <m:r>
          <m:t>f</m:t>
        </m:r>
        <m:r>
          <m:t>A</m:t>
        </m:r>
        <m:r>
          <m:t>U</m:t>
        </m:r>
        <m:r>
          <m:t>M</m:t>
        </m:r>
        <m:r>
          <m:t>n</m:t>
        </m:r>
        <m:r>
          <m:t>o</m:t>
        </m:r>
        <m:r>
          <m:t>t</m:t>
        </m:r>
        <m:r>
          <m:t>y</m:t>
        </m:r>
        <m:r>
          <m:t>e</m:t>
        </m:r>
        <m:r>
          <m:t>t</m:t>
        </m:r>
        <m:r>
          <m:t>p</m:t>
        </m:r>
        <m:r>
          <m:t>a</m:t>
        </m:r>
        <m:r>
          <m:t>y</m:t>
        </m:r>
        <m:r>
          <m:t>i</m:t>
        </m:r>
        <m:r>
          <m:t>n</m:t>
        </m:r>
        <m:r>
          <m:t>g</m:t>
        </m:r>
        <m:r>
          <m:t>f</m:t>
        </m:r>
        <m:r>
          <m:t>e</m:t>
        </m:r>
        <m:r>
          <m:t>e</m:t>
        </m:r>
        <m:r>
          <m:t>s</m:t>
        </m:r>
        <m:r>
          <m:t>t</m:t>
        </m:r>
        <m:r>
          <m:t>h</m:t>
        </m:r>
        <m:r>
          <m:t>a</m:t>
        </m:r>
        <m:r>
          <m:t>t</m:t>
        </m:r>
        <m:r>
          <m:t>w</m:t>
        </m:r>
        <m:r>
          <m:t>a</m:t>
        </m:r>
        <m:r>
          <m:t>s</m:t>
        </m:r>
        <m:r>
          <m:t>a</m:t>
        </m:r>
        <m:r>
          <m:t>v</m:t>
        </m:r>
        <m:r>
          <m:t>a</m:t>
        </m:r>
        <m:r>
          <m:t>i</m:t>
        </m:r>
        <m:r>
          <m:t>l</m:t>
        </m:r>
        <m:r>
          <m:t>a</m:t>
        </m:r>
        <m:r>
          <m:t>b</m:t>
        </m:r>
        <m:r>
          <m:t>l</m:t>
        </m:r>
        <m:r>
          <m:t>e</m:t>
        </m:r>
        <m:r>
          <m:t>f</m:t>
        </m:r>
        <m:r>
          <m:t>o</m:t>
        </m:r>
        <m:r>
          <m:t>r</m:t>
        </m:r>
        <m:r>
          <m:t>f</m:t>
        </m:r>
        <m:r>
          <m:t>u</m:t>
        </m:r>
        <m:r>
          <m:t>t</m:t>
        </m:r>
        <m:r>
          <m:t>u</m:t>
        </m:r>
        <m:r>
          <m:t>r</m:t>
        </m:r>
        <m:r>
          <m:t>e</m:t>
        </m:r>
        <m:r>
          <m:t>d</m:t>
        </m:r>
        <m:r>
          <m:t>e</m:t>
        </m:r>
        <m:r>
          <m:t>p</m:t>
        </m:r>
        <m:r>
          <m:t>l</m:t>
        </m:r>
        <m:r>
          <m:t>o</m:t>
        </m:r>
        <m:r>
          <m:t>y</m:t>
        </m:r>
        <m:r>
          <m:t>m</m:t>
        </m:r>
        <m:r>
          <m:t>e</m:t>
        </m:r>
        <m:r>
          <m:t>n</m:t>
        </m:r>
        <m:r>
          <m:t>t</m:t>
        </m:r>
        <m:r>
          <m:t>a</m:t>
        </m:r>
        <m:r>
          <m:t>s</m:t>
        </m:r>
        <m:r>
          <m:t>o</m:t>
        </m:r>
        <m:r>
          <m:t>f</m:t>
        </m:r>
        <m:r>
          <m:t>M</m:t>
        </m:r>
        <m:r>
          <m:t>a</m:t>
        </m:r>
        <m:r>
          <m:t>r</m:t>
        </m:r>
        <m:r>
          <m:t>c</m:t>
        </m:r>
        <m:r>
          <m:t>h</m:t>
        </m:r>
        <m:r>
          <m:t>31</m:t>
        </m:r>
        <m:r>
          <m:rPr>
            <m:sty m:val="p"/>
          </m:rPr>
          <m:t>,</m:t>
        </m:r>
        <m:r>
          <m:t>p</m:t>
        </m:r>
        <m:r>
          <m:t>l</m:t>
        </m:r>
        <m:r>
          <m:t>u</m:t>
        </m:r>
        <m:r>
          <m:t>s</m:t>
        </m:r>
        <m:r>
          <m:t>d</m:t>
        </m:r>
        <m:r>
          <m:t>e</m:t>
        </m:r>
        <m:r>
          <m:t>v</m:t>
        </m:r>
        <m:r>
          <m:t>e</m:t>
        </m:r>
        <m:r>
          <m:t>l</m:t>
        </m:r>
        <m:r>
          <m:t>o</m:t>
        </m:r>
        <m:r>
          <m:t>p</m:t>
        </m:r>
        <m:r>
          <m:t>m</m:t>
        </m:r>
        <m:r>
          <m:t>e</m:t>
        </m:r>
        <m:r>
          <m:t>n</m:t>
        </m:r>
        <m:r>
          <m:t>t</m:t>
        </m:r>
        <m:r>
          <m:t>a</m:t>
        </m:r>
        <m:r>
          <m:t>s</m:t>
        </m:r>
        <m:r>
          <m:t>s</m:t>
        </m:r>
        <m:r>
          <m:t>e</m:t>
        </m:r>
        <m:r>
          <m:t>t</m:t>
        </m:r>
        <m:r>
          <m:t>s</m:t>
        </m:r>
        <m:r>
          <m:t>t</m:t>
        </m:r>
        <m:r>
          <m:t>h</m:t>
        </m:r>
        <m:r>
          <m:t>a</m:t>
        </m:r>
        <m:r>
          <m:t>t</m:t>
        </m:r>
        <m:r>
          <m:t>c</m:t>
        </m:r>
        <m:r>
          <m:t>o</m:t>
        </m:r>
        <m:r>
          <m:t>u</m:t>
        </m:r>
        <m:r>
          <m:t>l</m:t>
        </m:r>
        <m:r>
          <m:t>d</m:t>
        </m:r>
        <m:r>
          <m:t>s</m:t>
        </m:r>
        <m:r>
          <m:t>t</m:t>
        </m:r>
        <m:r>
          <m:t>e</m:t>
        </m:r>
        <m:r>
          <m:t>p</m:t>
        </m:r>
        <m:r>
          <m:t>u</m:t>
        </m:r>
        <m:r>
          <m:t>p</m:t>
        </m:r>
        <m:r>
          <m:t>f</m:t>
        </m:r>
        <m:r>
          <m:t>e</m:t>
        </m:r>
        <m:r>
          <m:t>e</m:t>
        </m:r>
        <m:r>
          <m:t>b</m:t>
        </m:r>
        <m:r>
          <m:t>a</m:t>
        </m:r>
        <m:r>
          <m:t>s</m:t>
        </m:r>
        <m:r>
          <m:t>e</m:t>
        </m:r>
        <m:r>
          <m:t>s</m:t>
        </m:r>
        <m:r>
          <m:t>w</m:t>
        </m:r>
        <m:r>
          <m:t>h</m:t>
        </m:r>
        <m:r>
          <m:t>e</m:t>
        </m:r>
        <m:r>
          <m:t>n</m:t>
        </m:r>
        <m:r>
          <m:t>s</m:t>
        </m:r>
        <m:r>
          <m:t>t</m:t>
        </m:r>
        <m:r>
          <m:t>a</m:t>
        </m:r>
        <m:r>
          <m:t>b</m:t>
        </m:r>
        <m:r>
          <m:t>i</m:t>
        </m:r>
        <m:r>
          <m:t>l</m:t>
        </m:r>
        <m:r>
          <m:t>i</m:t>
        </m:r>
        <m:r>
          <m:t>z</m:t>
        </m:r>
        <m:r>
          <m:t>e</m:t>
        </m:r>
        <m:r>
          <m:t>d</m:t>
        </m:r>
        <m:r>
          <m:rPr>
            <m:sty m:val="p"/>
          </m:rPr>
          <m:t>.</m:t>
        </m:r>
        <m:r>
          <m:t>M</m:t>
        </m:r>
        <m:r>
          <m:t>a</m:t>
        </m:r>
        <m:r>
          <m:t>n</m:t>
        </m:r>
        <m:r>
          <m:t>a</m:t>
        </m:r>
        <m:r>
          <m:t>g</m:t>
        </m:r>
        <m:r>
          <m:t>e</m:t>
        </m:r>
        <m:r>
          <m:t>m</m:t>
        </m:r>
        <m:r>
          <m:t>e</m:t>
        </m:r>
        <m:r>
          <m:t>n</m:t>
        </m:r>
        <m:r>
          <m:t>t</m:t>
        </m:r>
        <m:r>
          <m:t>e</m:t>
        </m:r>
        <m:r>
          <m:t>s</m:t>
        </m:r>
        <m:r>
          <m:t>t</m:t>
        </m:r>
        <m:r>
          <m:t>i</m:t>
        </m:r>
        <m:r>
          <m:t>m</m:t>
        </m:r>
        <m:r>
          <m:t>a</m:t>
        </m:r>
        <m:r>
          <m:t>t</m:t>
        </m:r>
        <m:r>
          <m:t>e</m:t>
        </m:r>
        <m:r>
          <m:t>d</m:t>
        </m:r>
        <m:r>
          <m:t>t</m:t>
        </m:r>
        <m:r>
          <m:t>h</m:t>
        </m:r>
        <m:r>
          <m:t>e</m:t>
        </m:r>
        <m:r>
          <m:t>d</m:t>
        </m:r>
        <m:r>
          <m:t>e</m:t>
        </m:r>
        <m:r>
          <m:t>p</m:t>
        </m:r>
        <m:r>
          <m:t>l</m:t>
        </m:r>
        <m:r>
          <m:t>o</m:t>
        </m:r>
        <m:r>
          <m:t>y</m:t>
        </m:r>
        <m:r>
          <m:t>a</m:t>
        </m:r>
        <m:r>
          <m:t>b</m:t>
        </m:r>
        <m:r>
          <m:t>l</m:t>
        </m:r>
        <m:r>
          <m:t>e</m:t>
        </m:r>
        <m:r>
          <m:t>b</m:t>
        </m:r>
        <m:r>
          <m:t>a</m:t>
        </m:r>
        <m:r>
          <m:t>l</m:t>
        </m:r>
        <m:r>
          <m:t>a</m:t>
        </m:r>
        <m:r>
          <m:t>n</m:t>
        </m:r>
        <m:r>
          <m:t>c</m:t>
        </m:r>
        <m:r>
          <m:t>e</m:t>
        </m:r>
        <m:r>
          <m:t>c</m:t>
        </m:r>
        <m:r>
          <m:t>o</m:t>
        </m:r>
        <m:r>
          <m:t>u</m:t>
        </m:r>
        <m:r>
          <m:t>l</m:t>
        </m:r>
        <m:r>
          <m:t>d</m:t>
        </m:r>
        <m:r>
          <m:t>g</m:t>
        </m:r>
        <m:r>
          <m:t>e</m:t>
        </m:r>
        <m:r>
          <m:t>n</m:t>
        </m:r>
        <m:r>
          <m:t>e</m:t>
        </m:r>
        <m:r>
          <m:t>r</m:t>
        </m:r>
        <m:r>
          <m:t>a</m:t>
        </m:r>
        <m:r>
          <m:t>t</m:t>
        </m:r>
        <m:r>
          <m:t>e</m:t>
        </m:r>
        <m:r>
          <m:t>a</m:t>
        </m:r>
        <m:r>
          <m:t>b</m:t>
        </m:r>
        <m:r>
          <m:t>o</m:t>
        </m:r>
        <m:r>
          <m:t>u</m:t>
        </m:r>
        <m:r>
          <m:t>t</m:t>
        </m:r>
        <m:r>
          <m:rPr>
            <m:sty m:val="p"/>
          </m:rPr>
          <m:t>*</m:t>
        </m:r>
        <m:r>
          <m:rPr>
            <m:sty m:val="p"/>
          </m:rPr>
          <m:t>*</m:t>
        </m:r>
      </m:oMath>
      <w:r>
        <w:rPr>
          <w:b/>
          <w:bCs/>
        </w:rPr>
        <w:t xml:space="preserve">695M</w:t>
      </w:r>
      <w:r>
        <w:t xml:space="preserve"> </w:t>
      </w:r>
      <w:r>
        <w:t xml:space="preserve">of incremental annual management fees if invested, before related offsets and expenses.</w:t>
      </w:r>
    </w:p>
    <w:p>
      <w:pPr>
        <w:pStyle w:val="BodyText"/>
      </w:pPr>
      <w:r>
        <w:rPr>
          <w:b/>
          <w:bCs/>
        </w:rPr>
        <w:t xml:space="preserve">Constructive outcome:</w:t>
      </w:r>
      <w:r>
        <w:t xml:space="preserve"> </w:t>
      </w:r>
      <w:r>
        <w:t xml:space="preserve">deployment remains at least near Q1’s level, with broad participation across strategies rather than a credit-only rebound.</w:t>
      </w:r>
    </w:p>
    <w:p>
      <w:pPr>
        <w:pStyle w:val="BodyText"/>
      </w:pPr>
      <w:r>
        <w:rPr>
          <w:b/>
          <w:bCs/>
        </w:rPr>
        <w:t xml:space="preserve">Disappointing outcome:</w:t>
      </w:r>
      <w:r>
        <w:t xml:space="preserve"> </w:t>
      </w:r>
      <w:r>
        <w:t xml:space="preserve">a prolonged pause in U.S. sponsor activity, weak realization markets or a reduction in deployment appetite that delays fee conversion.</w:t>
      </w:r>
    </w:p>
    <w:p>
      <w:r>
        <w:pict>
          <v:rect style="width:0;height:1.5pt" o:hralign="center" o:hrstd="t" o:hr="t"/>
        </w:pict>
      </w:r>
    </w:p>
    <w:bookmarkEnd w:id="12"/>
    <w:bookmarkStart w:id="13" w:name="X33e078c0dd0892f18ea3fe1ac899342a7d205b5"/>
    <w:p>
      <w:pPr>
        <w:pStyle w:val="Heading3"/>
      </w:pPr>
      <w:r>
        <w:t xml:space="preserve">3. Wealth-channel flows and non-traded BDC redemptions remain the biggest near-term debate</w:t>
      </w:r>
    </w:p>
    <w:p>
      <w:pPr>
        <w:pStyle w:val="FirstParagraph"/>
      </w:pPr>
      <w:r>
        <w:t xml:space="preserve">The market’s principal concern is whether slower inflows or redemptions in retail-oriented private-credit vehicles become a larger earnings or sentiment issue.</w:t>
      </w:r>
    </w:p>
    <w:p>
      <w:pPr>
        <w:pStyle w:val="BodyText"/>
      </w:pPr>
      <w:r>
        <w:t xml:space="preserve">Management’s Q1 framing was reassuring but will need validation in Q2:</w:t>
      </w:r>
    </w:p>
    <w:p>
      <w:pPr>
        <w:pStyle w:val="Compact"/>
        <w:numPr>
          <w:ilvl w:val="0"/>
          <w:numId w:val="1002"/>
        </w:numPr>
      </w:pPr>
      <w:r>
        <w:t xml:space="preserve">The two cited U.S. private-credit wealth products represented only about</w:t>
      </w:r>
      <w:r>
        <w:t xml:space="preserve"> </w:t>
      </w:r>
      <w:r>
        <w:rPr>
          <w:b/>
          <w:bCs/>
        </w:rPr>
        <w:t xml:space="preserve">4.5% of total fee-paying AUM</w:t>
      </w:r>
      <w:r>
        <w:t xml:space="preserve">.</w:t>
      </w:r>
    </w:p>
    <w:p>
      <w:pPr>
        <w:pStyle w:val="Compact"/>
        <w:numPr>
          <w:ilvl w:val="0"/>
          <w:numId w:val="1002"/>
        </w:numPr>
      </w:pPr>
      <w:r>
        <w:t xml:space="preserve">Management estimated that even a highly adverse scenario—</w:t>
      </w:r>
      <w:r>
        <w:rPr>
          <w:b/>
          <w:bCs/>
        </w:rPr>
        <w:t xml:space="preserve">5% quarterly redemptions for a full year with no gross inflows</w:t>
      </w:r>
      <w:r>
        <w:t xml:space="preserve">—would reduce firmwide FPAUM by only roughly</w:t>
      </w:r>
      <w:r>
        <w:t xml:space="preserve"> </w:t>
      </w:r>
      <w:r>
        <w:rPr>
          <w:b/>
          <w:bCs/>
        </w:rPr>
        <w:t xml:space="preserve">1% annually</w:t>
      </w:r>
      <w:r>
        <w:t xml:space="preserve">.</w:t>
      </w:r>
    </w:p>
    <w:p>
      <w:pPr>
        <w:pStyle w:val="Compact"/>
        <w:numPr>
          <w:ilvl w:val="0"/>
          <w:numId w:val="1002"/>
        </w:numPr>
      </w:pPr>
      <w:r>
        <w:t xml:space="preserve">Ares argued that institutional pools, public vehicles and other strategies can absorb deployment that otherwise would have gone to those retail products.</w:t>
      </w:r>
    </w:p>
    <w:p>
      <w:pPr>
        <w:pStyle w:val="FirstParagraph"/>
      </w:pPr>
      <w:r>
        <w:t xml:space="preserve">Investors should focus less on gross redemptions alone and more on:</w:t>
      </w:r>
    </w:p>
    <w:p>
      <w:pPr>
        <w:pStyle w:val="Compact"/>
        <w:numPr>
          <w:ilvl w:val="0"/>
          <w:numId w:val="1003"/>
        </w:numPr>
      </w:pPr>
      <w:r>
        <w:rPr>
          <w:b/>
          <w:bCs/>
        </w:rPr>
        <w:t xml:space="preserve">Net flows</w:t>
      </w:r>
      <w:r>
        <w:t xml:space="preserve"> </w:t>
      </w:r>
      <w:r>
        <w:t xml:space="preserve">by product,</w:t>
      </w:r>
    </w:p>
    <w:p>
      <w:pPr>
        <w:pStyle w:val="Compact"/>
        <w:numPr>
          <w:ilvl w:val="0"/>
          <w:numId w:val="1003"/>
        </w:numPr>
      </w:pPr>
      <w:r>
        <w:t xml:space="preserve">Any changes to repurchase fulfillment,</w:t>
      </w:r>
    </w:p>
    <w:p>
      <w:pPr>
        <w:pStyle w:val="Compact"/>
        <w:numPr>
          <w:ilvl w:val="0"/>
          <w:numId w:val="1003"/>
        </w:numPr>
      </w:pPr>
      <w:r>
        <w:t xml:space="preserve">Whether redemptions are concentrated among a small set of investors or broadening, and</w:t>
      </w:r>
    </w:p>
    <w:p>
      <w:pPr>
        <w:pStyle w:val="Compact"/>
        <w:numPr>
          <w:ilvl w:val="0"/>
          <w:numId w:val="1003"/>
        </w:numPr>
      </w:pPr>
      <w:r>
        <w:t xml:space="preserve">Whether reduced retail capacity is actually affecting management fees or deployment.</w:t>
      </w:r>
    </w:p>
    <w:p>
      <w:pPr>
        <w:pStyle w:val="FirstParagraph"/>
      </w:pPr>
      <w:r>
        <w:t xml:space="preserve">A clean quarter here could remove an important overhang. Conversely, a broader deterioration in wealth flows would challenge the market’s view of Ares’ fee durability.</w:t>
      </w:r>
    </w:p>
    <w:p>
      <w:r>
        <w:pict>
          <v:rect style="width:0;height:1.5pt" o:hralign="center" o:hrstd="t" o:hr="t"/>
        </w:pict>
      </w:r>
    </w:p>
    <w:bookmarkEnd w:id="13"/>
    <w:bookmarkStart w:id="14" w:name="Xe3648a442c1745fe607a76b008fd4c03af4ad30"/>
    <w:p>
      <w:pPr>
        <w:pStyle w:val="Heading3"/>
      </w:pPr>
      <w:r>
        <w:t xml:space="preserve">4. Fee-related earnings and margin progression should remain the core financial scorecard</w:t>
      </w:r>
    </w:p>
    <w:p>
      <w:pPr>
        <w:pStyle w:val="FirstParagraph"/>
      </w:pPr>
      <w:r>
        <w:t xml:space="preserve">Ares reported strong Q1 operating results: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Q1 2026 result</w:t>
            </w:r>
          </w:p>
        </w:tc>
        <w:tc>
          <w:tcPr/>
          <w:p>
            <w:pPr>
              <w:pStyle w:val="Compact"/>
              <w:jc w:val="right"/>
            </w:pPr>
            <w:r>
              <w:t xml:space="preserve">Amount</w:t>
            </w:r>
          </w:p>
        </w:tc>
        <w:tc>
          <w:tcPr/>
          <w:p>
            <w:pPr>
              <w:pStyle w:val="Compact"/>
              <w:jc w:val="right"/>
            </w:pPr>
            <w:r>
              <w:t xml:space="preserve">YoY change</w:t>
            </w:r>
          </w:p>
        </w:tc>
      </w:tr>
      <w:tr>
        <w:tc>
          <w:tcPr/>
          <w:p>
            <w:pPr>
              <w:pStyle w:val="Compact"/>
            </w:pPr>
            <w:r>
              <w:t xml:space="preserve">Management fees</w:t>
            </w:r>
          </w:p>
        </w:tc>
        <w:tc>
          <w:tcPr/>
          <w:p>
            <w:pPr>
              <w:pStyle w:val="Compact"/>
              <w:jc w:val="right"/>
            </w:pPr>
            <w:r>
              <w:rPr>
                <w:b/>
                <w:bCs/>
              </w:rPr>
              <w:t xml:space="preserve">$1.00B</w:t>
            </w:r>
          </w:p>
        </w:tc>
        <w:tc>
          <w:tcPr/>
          <w:p>
            <w:pPr>
              <w:pStyle w:val="Compact"/>
              <w:jc w:val="right"/>
            </w:pPr>
            <w:r>
              <w:rPr>
                <w:b/>
                <w:bCs/>
              </w:rPr>
              <w:t xml:space="preserve">+22%</w:t>
            </w:r>
          </w:p>
        </w:tc>
      </w:tr>
      <w:tr>
        <w:tc>
          <w:tcPr/>
          <w:p>
            <w:pPr>
              <w:pStyle w:val="Compact"/>
            </w:pPr>
            <w:r>
              <w:t xml:space="preserve">Fee-related earnings (FRE)</w:t>
            </w:r>
          </w:p>
        </w:tc>
        <w:tc>
          <w:tcPr/>
          <w:p>
            <w:pPr>
              <w:pStyle w:val="Compact"/>
              <w:jc w:val="right"/>
            </w:pPr>
            <w:r>
              <w:rPr>
                <w:b/>
                <w:bCs/>
              </w:rPr>
              <w:t xml:space="preserve">$464.4M</w:t>
            </w:r>
          </w:p>
        </w:tc>
        <w:tc>
          <w:tcPr/>
          <w:p>
            <w:pPr>
              <w:pStyle w:val="Compact"/>
              <w:jc w:val="right"/>
            </w:pPr>
            <w:r>
              <w:rPr>
                <w:b/>
                <w:bCs/>
              </w:rPr>
              <w:t xml:space="preserve">+26%</w:t>
            </w:r>
          </w:p>
        </w:tc>
      </w:tr>
      <w:tr>
        <w:tc>
          <w:tcPr/>
          <w:p>
            <w:pPr>
              <w:pStyle w:val="Compact"/>
            </w:pPr>
            <w:r>
              <w:t xml:space="preserve">FRE margin</w:t>
            </w:r>
          </w:p>
        </w:tc>
        <w:tc>
          <w:tcPr/>
          <w:p>
            <w:pPr>
              <w:pStyle w:val="Compact"/>
              <w:jc w:val="right"/>
            </w:pPr>
            <w:r>
              <w:rPr>
                <w:b/>
                <w:bCs/>
              </w:rPr>
              <w:t xml:space="preserve">42.4%</w:t>
            </w:r>
          </w:p>
        </w:tc>
        <w:tc>
          <w:tcPr/>
          <w:p>
            <w:pPr>
              <w:pStyle w:val="Compact"/>
              <w:jc w:val="right"/>
            </w:pPr>
            <w:r>
              <w:rPr>
                <w:b/>
                <w:bCs/>
              </w:rPr>
              <w:t xml:space="preserve">+90 bps</w:t>
            </w:r>
          </w:p>
        </w:tc>
      </w:tr>
      <w:tr>
        <w:tc>
          <w:tcPr/>
          <w:p>
            <w:pPr>
              <w:pStyle w:val="Compact"/>
            </w:pPr>
            <w:r>
              <w:t xml:space="preserve">Realized income</w:t>
            </w:r>
          </w:p>
        </w:tc>
        <w:tc>
          <w:tcPr/>
          <w:p>
            <w:pPr>
              <w:pStyle w:val="Compact"/>
              <w:jc w:val="right"/>
            </w:pPr>
            <w:r>
              <w:rPr>
                <w:b/>
                <w:bCs/>
              </w:rPr>
              <w:t xml:space="preserve">$502.7M</w:t>
            </w:r>
          </w:p>
        </w:tc>
        <w:tc>
          <w:tcPr/>
          <w:p>
            <w:pPr>
              <w:pStyle w:val="Compact"/>
              <w:jc w:val="right"/>
            </w:pPr>
            <w:r>
              <w:rPr>
                <w:b/>
                <w:bCs/>
              </w:rPr>
              <w:t xml:space="preserve">+24%</w:t>
            </w:r>
          </w:p>
        </w:tc>
      </w:tr>
      <w:tr>
        <w:tc>
          <w:tcPr/>
          <w:p>
            <w:pPr>
              <w:pStyle w:val="Compact"/>
            </w:pPr>
            <w:r>
              <w:t xml:space="preserve">After-tax realized income per Class A/non-voting share</w:t>
            </w:r>
          </w:p>
        </w:tc>
        <w:tc>
          <w:tcPr/>
          <w:p>
            <w:pPr>
              <w:pStyle w:val="Compact"/>
              <w:jc w:val="right"/>
            </w:pPr>
            <w:r>
              <w:rPr>
                <w:b/>
                <w:bCs/>
              </w:rPr>
              <w:t xml:space="preserve">$1.24</w:t>
            </w:r>
          </w:p>
        </w:tc>
        <w:tc>
          <w:tcPr/>
          <w:p>
            <w:pPr>
              <w:pStyle w:val="Compact"/>
              <w:jc w:val="right"/>
            </w:pPr>
            <w:r>
              <w:rPr>
                <w:b/>
                <w:bCs/>
              </w:rPr>
              <w:t xml:space="preserve">+14%</w:t>
            </w:r>
          </w:p>
        </w:tc>
      </w:tr>
    </w:tbl>
    <w:p>
      <w:pPr>
        <w:pStyle w:val="BodyText"/>
      </w:pPr>
      <w:r>
        <w:t xml:space="preserve">The Q2 debate is likely to center on whether Ares can keep realizing operating leverage while continuing to invest behind growth areas such as digital infrastructure and the post-acquisition platform.</w:t>
      </w:r>
    </w:p>
    <w:p>
      <w:pPr>
        <w:pStyle w:val="BodyText"/>
      </w:pPr>
      <w:r>
        <w:t xml:space="preserve">Management previously expected full-year FRE-margin expansion toward the</w:t>
      </w:r>
      <w:r>
        <w:t xml:space="preserve"> </w:t>
      </w:r>
      <w:r>
        <w:rPr>
          <w:b/>
          <w:bCs/>
        </w:rPr>
        <w:t xml:space="preserve">high end of its 0–150 basis-point annual range</w:t>
      </w:r>
      <w:r>
        <w:t xml:space="preserve">, although it also flagged that Q2 G&amp;A would include elevated costs associated with its global annual meeting. A modest sequential expense increase should therefore not necessarily be read as deterioration in underlying margin performance.</w:t>
      </w:r>
    </w:p>
    <w:p>
      <w:pPr>
        <w:pStyle w:val="BodyText"/>
      </w:pPr>
      <w:r>
        <w:rPr>
          <w:b/>
          <w:bCs/>
        </w:rPr>
        <w:t xml:space="preserve">Key figures to watch</w:t>
      </w:r>
    </w:p>
    <w:p>
      <w:pPr>
        <w:pStyle w:val="Compact"/>
        <w:numPr>
          <w:ilvl w:val="0"/>
          <w:numId w:val="1004"/>
        </w:numPr>
      </w:pPr>
      <w:r>
        <w:t xml:space="preserve">Management-fee growth,</w:t>
      </w:r>
    </w:p>
    <w:p>
      <w:pPr>
        <w:pStyle w:val="Compact"/>
        <w:numPr>
          <w:ilvl w:val="0"/>
          <w:numId w:val="1004"/>
        </w:numPr>
      </w:pPr>
      <w:r>
        <w:t xml:space="preserve">FPAUM growth and composition,</w:t>
      </w:r>
    </w:p>
    <w:p>
      <w:pPr>
        <w:pStyle w:val="Compact"/>
        <w:numPr>
          <w:ilvl w:val="0"/>
          <w:numId w:val="1004"/>
        </w:numPr>
      </w:pPr>
      <w:r>
        <w:t xml:space="preserve">FRE margin,</w:t>
      </w:r>
    </w:p>
    <w:p>
      <w:pPr>
        <w:pStyle w:val="Compact"/>
        <w:numPr>
          <w:ilvl w:val="0"/>
          <w:numId w:val="1004"/>
        </w:numPr>
      </w:pPr>
      <w:r>
        <w:t xml:space="preserve">Expense growth excluding temporary/event-driven items,</w:t>
      </w:r>
    </w:p>
    <w:p>
      <w:pPr>
        <w:pStyle w:val="Compact"/>
        <w:numPr>
          <w:ilvl w:val="0"/>
          <w:numId w:val="1004"/>
        </w:numPr>
      </w:pPr>
      <w:r>
        <w:t xml:space="preserve">Any revised commentary on the 2026 FRE and realized-income growth framework.</w:t>
      </w:r>
    </w:p>
    <w:p>
      <w:r>
        <w:pict>
          <v:rect style="width:0;height:1.5pt" o:hralign="center" o:hrstd="t" o:hr="t"/>
        </w:pict>
      </w:r>
    </w:p>
    <w:bookmarkEnd w:id="14"/>
    <w:bookmarkStart w:id="15" w:name="Xa9e7a11973d3b65b3bb111e816402a617b60320"/>
    <w:p>
      <w:pPr>
        <w:pStyle w:val="Heading3"/>
      </w:pPr>
      <w:r>
        <w:t xml:space="preserve">5. Performance income is less likely to drive the Q2 narrative</w:t>
      </w:r>
    </w:p>
    <w:p>
      <w:pPr>
        <w:pStyle w:val="FirstParagraph"/>
      </w:pPr>
      <w:r>
        <w:t xml:space="preserve">Q1 realized net performance income was</w:t>
      </w:r>
      <w:r>
        <w:t xml:space="preserve"> </w:t>
      </w:r>
      <w:r>
        <w:rPr>
          <w:b/>
          <w:bCs/>
        </w:rPr>
        <w:t xml:space="preserve">$75.3M</w:t>
      </w:r>
      <w:r>
        <w:t xml:space="preserve">, up 84% year over year, aided by a realization in the senior direct-lending business. However, performance-related revenue is inherently less predictable than management fees and is typically seasonal for Ares.</w:t>
      </w:r>
    </w:p>
    <w:p>
      <w:pPr>
        <w:pStyle w:val="BodyText"/>
      </w:pPr>
      <w:r>
        <w:t xml:space="preserve">Management has indicated that:</w:t>
      </w:r>
    </w:p>
    <w:p>
      <w:pPr>
        <w:pStyle w:val="Compact"/>
        <w:numPr>
          <w:ilvl w:val="0"/>
          <w:numId w:val="1005"/>
        </w:numPr>
      </w:pPr>
      <w:r>
        <w:t xml:space="preserve">Alternative-credit fee-related performance revenue is generally more meaningful in</w:t>
      </w:r>
      <w:r>
        <w:t xml:space="preserve"> </w:t>
      </w:r>
      <w:r>
        <w:rPr>
          <w:b/>
          <w:bCs/>
        </w:rPr>
        <w:t xml:space="preserve">Q3</w:t>
      </w:r>
      <w:r>
        <w:t xml:space="preserve">;</w:t>
      </w:r>
    </w:p>
    <w:p>
      <w:pPr>
        <w:pStyle w:val="Compact"/>
        <w:numPr>
          <w:ilvl w:val="0"/>
          <w:numId w:val="1005"/>
        </w:numPr>
      </w:pPr>
      <w:r>
        <w:t xml:space="preserve">Much of the remaining credit-related activity, plus real-estate realization activity, tends to occur in</w:t>
      </w:r>
      <w:r>
        <w:t xml:space="preserve"> </w:t>
      </w:r>
      <w:r>
        <w:rPr>
          <w:b/>
          <w:bCs/>
        </w:rPr>
        <w:t xml:space="preserve">Q4</w:t>
      </w:r>
      <w:r>
        <w:t xml:space="preserve">.</w:t>
      </w:r>
    </w:p>
    <w:p>
      <w:pPr>
        <w:pStyle w:val="FirstParagraph"/>
      </w:pPr>
      <w:r>
        <w:t xml:space="preserve">Accordingly, a modest Q2 performance-income result should not be interpreted negatively unless it comes with weaker commentary on realizations, fund performance or incentive-generating AUM.</w:t>
      </w:r>
    </w:p>
    <w:p>
      <w:r>
        <w:pict>
          <v:rect style="width:0;height:1.5pt" o:hralign="center" o:hrstd="t" o:hr="t"/>
        </w:pict>
      </w:r>
    </w:p>
    <w:bookmarkEnd w:id="15"/>
    <w:bookmarkEnd w:id="16"/>
    <w:bookmarkStart w:id="18" w:name="Xfa882e6f930ef5724116435db9f6f979de81e59"/>
    <w:p>
      <w:pPr>
        <w:pStyle w:val="Heading2"/>
      </w:pPr>
      <w:r>
        <w:t xml:space="preserve">Credit quality: the risk factor investors will scrutinize most</w:t>
      </w:r>
    </w:p>
    <w:p>
      <w:pPr>
        <w:pStyle w:val="FirstParagraph"/>
      </w:pPr>
      <w:r>
        <w:t xml:space="preserve">Ares’ credit franchise is the largest component of the company, so the earnings call will be closely monitored for early signs of stress in direct lending—especially in software and other cyclically sensitive holdings.</w:t>
      </w:r>
    </w:p>
    <w:p>
      <w:pPr>
        <w:pStyle w:val="BodyText"/>
      </w:pPr>
      <w:r>
        <w:t xml:space="preserve">Management’s Q1 message was notably confident:</w:t>
      </w:r>
    </w:p>
    <w:p>
      <w:pPr>
        <w:pStyle w:val="Compact"/>
        <w:numPr>
          <w:ilvl w:val="0"/>
          <w:numId w:val="1006"/>
        </w:numPr>
      </w:pPr>
      <w:r>
        <w:t xml:space="preserve">Direct-lending portfolio companies were generating near-</w:t>
      </w:r>
      <w:r>
        <w:rPr>
          <w:b/>
          <w:bCs/>
        </w:rPr>
        <w:t xml:space="preserve">10% EBITDA growth</w:t>
      </w:r>
      <w:r>
        <w:t xml:space="preserve">;</w:t>
      </w:r>
    </w:p>
    <w:p>
      <w:pPr>
        <w:pStyle w:val="Compact"/>
        <w:numPr>
          <w:ilvl w:val="0"/>
          <w:numId w:val="1006"/>
        </w:numPr>
      </w:pPr>
      <w:r>
        <w:t xml:space="preserve">Loan-to-value ratios were in the</w:t>
      </w:r>
      <w:r>
        <w:t xml:space="preserve"> </w:t>
      </w:r>
      <w:r>
        <w:rPr>
          <w:b/>
          <w:bCs/>
        </w:rPr>
        <w:t xml:space="preserve">mid-40%</w:t>
      </w:r>
      <w:r>
        <w:t xml:space="preserve"> </w:t>
      </w:r>
      <w:r>
        <w:t xml:space="preserve">range;</w:t>
      </w:r>
    </w:p>
    <w:p>
      <w:pPr>
        <w:pStyle w:val="Compact"/>
        <w:numPr>
          <w:ilvl w:val="0"/>
          <w:numId w:val="1006"/>
        </w:numPr>
      </w:pPr>
      <w:r>
        <w:t xml:space="preserve">Interest coverage was around</w:t>
      </w:r>
      <w:r>
        <w:t xml:space="preserve"> </w:t>
      </w:r>
      <w:r>
        <w:rPr>
          <w:b/>
          <w:bCs/>
        </w:rPr>
        <w:t xml:space="preserve">2.2x</w:t>
      </w:r>
      <w:r>
        <w:t xml:space="preserve">;</w:t>
      </w:r>
    </w:p>
    <w:p>
      <w:pPr>
        <w:pStyle w:val="Compact"/>
        <w:numPr>
          <w:ilvl w:val="0"/>
          <w:numId w:val="1006"/>
        </w:numPr>
      </w:pPr>
      <w:r>
        <w:t xml:space="preserve">Non-accruals remained below historical norms;</w:t>
      </w:r>
    </w:p>
    <w:p>
      <w:pPr>
        <w:pStyle w:val="Compact"/>
        <w:numPr>
          <w:ilvl w:val="0"/>
          <w:numId w:val="1006"/>
        </w:numPr>
      </w:pPr>
      <w:r>
        <w:t xml:space="preserve">Management characterized observed issues as idiosyncratic rather than systemic.</w:t>
      </w:r>
    </w:p>
    <w:p>
      <w:pPr>
        <w:pStyle w:val="FirstParagraph"/>
      </w:pPr>
      <w:r>
        <w:t xml:space="preserve">Software will remain a specific focus. Ares has argued that its exposure is concentrated in senior loans to more mission-critical, regulated and system-of-record businesses, rather than the software categories viewed as most vulnerable to AI-driven disruption. Its public commentary also emphasizes the senior position in the capital structure and relatively low loan-to-value exposure. (</w:t>
      </w:r>
      <w:hyperlink r:id="rId17">
        <w:r>
          <w:rPr>
            <w:rStyle w:val="Hyperlink"/>
          </w:rPr>
          <w:t xml:space="preserve">aresmgmt.com</w:t>
        </w:r>
      </w:hyperlink>
      <w:r>
        <w:t xml:space="preserve">)</w:t>
      </w:r>
    </w:p>
    <w:p>
      <w:pPr>
        <w:pStyle w:val="BodyText"/>
      </w:pPr>
      <w:r>
        <w:rPr>
          <w:b/>
          <w:bCs/>
        </w:rPr>
        <w:t xml:space="preserve">Questions for the call</w:t>
      </w:r>
    </w:p>
    <w:p>
      <w:pPr>
        <w:pStyle w:val="Compact"/>
        <w:numPr>
          <w:ilvl w:val="0"/>
          <w:numId w:val="1007"/>
        </w:numPr>
      </w:pPr>
      <w:r>
        <w:t xml:space="preserve">Have non-accruals, amendments, PIK elections or watch-list names increased?</w:t>
      </w:r>
    </w:p>
    <w:p>
      <w:pPr>
        <w:pStyle w:val="Compact"/>
        <w:numPr>
          <w:ilvl w:val="0"/>
          <w:numId w:val="1007"/>
        </w:numPr>
      </w:pPr>
      <w:r>
        <w:t xml:space="preserve">What has changed in software underwriting, pricing and selectivity?</w:t>
      </w:r>
    </w:p>
    <w:p>
      <w:pPr>
        <w:pStyle w:val="Compact"/>
        <w:numPr>
          <w:ilvl w:val="0"/>
          <w:numId w:val="1007"/>
        </w:numPr>
      </w:pPr>
      <w:r>
        <w:t xml:space="preserve">Are spreads and lender protections improving enough to offset potential credit risk?</w:t>
      </w:r>
    </w:p>
    <w:p>
      <w:pPr>
        <w:pStyle w:val="Compact"/>
        <w:numPr>
          <w:ilvl w:val="0"/>
          <w:numId w:val="1007"/>
        </w:numPr>
      </w:pPr>
      <w:r>
        <w:t xml:space="preserve">Is private-equity-sponsored M&amp;A translating into a real acceleration in direct-lending originations?</w:t>
      </w:r>
    </w:p>
    <w:p>
      <w:r>
        <w:pict>
          <v:rect style="width:0;height:1.5pt" o:hralign="center" o:hrstd="t" o:hr="t"/>
        </w:pict>
      </w:r>
    </w:p>
    <w:bookmarkEnd w:id="18"/>
    <w:bookmarkStart w:id="23" w:name="strategic-catalysts-beyond-the-quarter"/>
    <w:p>
      <w:pPr>
        <w:pStyle w:val="Heading2"/>
      </w:pPr>
      <w:r>
        <w:t xml:space="preserve">Strategic catalysts beyond the quarter</w:t>
      </w:r>
    </w:p>
    <w:bookmarkStart w:id="19" w:name="data-centers-and-power-infrastructure"/>
    <w:p>
      <w:pPr>
        <w:pStyle w:val="Heading3"/>
      </w:pPr>
      <w:r>
        <w:t xml:space="preserve">Data centers and power infrastructure</w:t>
      </w:r>
    </w:p>
    <w:p>
      <w:pPr>
        <w:pStyle w:val="FirstParagraph"/>
      </w:pPr>
      <w:r>
        <w:t xml:space="preserve">Ares has positioned digital infrastructure as a major multi-year opportunity. Its platform combines credit, real estate, infrastructure and development capabilities, with management highlighting a data-center fundraise and associated power/energy investment opportunities. A fund first close or material seed-asset announcement could be a meaningful positive catalyst. Ares reports approximately</w:t>
      </w:r>
      <w:r>
        <w:t xml:space="preserve"> </w:t>
      </w:r>
      <w:r>
        <w:rPr>
          <w:b/>
          <w:bCs/>
        </w:rPr>
        <w:t xml:space="preserve">$26.2B</w:t>
      </w:r>
      <w:r>
        <w:t xml:space="preserve"> </w:t>
      </w:r>
      <w:r>
        <w:t xml:space="preserve">of infrastructure AUM as of March 31. (</w:t>
      </w:r>
      <w:hyperlink r:id="rId10">
        <w:r>
          <w:rPr>
            <w:rStyle w:val="Hyperlink"/>
          </w:rPr>
          <w:t xml:space="preserve">aresmgmt.com</w:t>
        </w:r>
      </w:hyperlink>
      <w:r>
        <w:t xml:space="preserve">)</w:t>
      </w:r>
    </w:p>
    <w:bookmarkEnd w:id="19"/>
    <w:bookmarkStart w:id="21" w:name="secondaries"/>
    <w:p>
      <w:pPr>
        <w:pStyle w:val="Heading3"/>
      </w:pPr>
      <w:r>
        <w:t xml:space="preserve">Secondaries</w:t>
      </w:r>
    </w:p>
    <w:p>
      <w:pPr>
        <w:pStyle w:val="FirstParagraph"/>
      </w:pPr>
      <w:r>
        <w:t xml:space="preserve">Secondaries is a smaller but faster-growing piece of the platform: Q1 AUM was</w:t>
      </w:r>
      <w:r>
        <w:t xml:space="preserve"> </w:t>
      </w:r>
      <w:r>
        <w:rPr>
          <w:b/>
          <w:bCs/>
        </w:rPr>
        <w:t xml:space="preserve">$42.6B</w:t>
      </w:r>
      <w:r>
        <w:t xml:space="preserve">, up 36% year over year, while fee-paying AUM grew 29%. Ares sees an expanding opportunity in GP-led transactions, credit secondaries and liquidity solutions. Its own market commentary points to continued growth in secondary-market activity into 2026. (</w:t>
      </w:r>
      <w:hyperlink r:id="rId20">
        <w:r>
          <w:rPr>
            <w:rStyle w:val="Hyperlink"/>
          </w:rPr>
          <w:t xml:space="preserve">aresmgmt.com</w:t>
        </w:r>
      </w:hyperlink>
      <w:r>
        <w:t xml:space="preserve">)</w:t>
      </w:r>
    </w:p>
    <w:bookmarkEnd w:id="21"/>
    <w:bookmarkStart w:id="22" w:name="potential-ma"/>
    <w:p>
      <w:pPr>
        <w:pStyle w:val="Heading3"/>
      </w:pPr>
      <w:r>
        <w:t xml:space="preserve">Potential M&amp;A</w:t>
      </w:r>
    </w:p>
    <w:p>
      <w:pPr>
        <w:pStyle w:val="FirstParagraph"/>
      </w:pPr>
      <w:r>
        <w:t xml:space="preserve">Recent reporting said Ares has held discussions regarding a potential acquisition of Leonard Green &amp; Partners. This is not a disclosed transaction, and investors should treat it as speculative until Ares comments publicly. Still, any discussion on the call could matter: a transaction of that size could materially expand Ares’ private-equity footprint, but it would also raise questions about price, financing, integration, retention and the trade-off between acquired and organic growth.</w:t>
      </w:r>
    </w:p>
    <w:p>
      <w:r>
        <w:pict>
          <v:rect style="width:0;height:1.5pt" o:hralign="center" o:hrstd="t" o:hr="t"/>
        </w:pict>
      </w:r>
    </w:p>
    <w:bookmarkEnd w:id="22"/>
    <w:bookmarkEnd w:id="23"/>
    <w:bookmarkStart w:id="27" w:name="earnings-scenarios"/>
    <w:p>
      <w:pPr>
        <w:pStyle w:val="Heading2"/>
      </w:pPr>
      <w:r>
        <w:t xml:space="preserve">Earnings scenarios</w:t>
      </w:r>
    </w:p>
    <w:bookmarkStart w:id="24" w:name="bull-case"/>
    <w:p>
      <w:pPr>
        <w:pStyle w:val="Heading3"/>
      </w:pPr>
      <w:r>
        <w:t xml:space="preserve">Bull case</w:t>
      </w:r>
    </w:p>
    <w:p>
      <w:pPr>
        <w:pStyle w:val="Compact"/>
        <w:numPr>
          <w:ilvl w:val="0"/>
          <w:numId w:val="1008"/>
        </w:numPr>
      </w:pPr>
      <w:r>
        <w:t xml:space="preserve">Fundraising stays exceptionally strong, including meaningful data-center and alternative-credit fund milestones.</w:t>
      </w:r>
    </w:p>
    <w:p>
      <w:pPr>
        <w:pStyle w:val="Compact"/>
        <w:numPr>
          <w:ilvl w:val="0"/>
          <w:numId w:val="1008"/>
        </w:numPr>
      </w:pPr>
      <w:r>
        <w:t xml:space="preserve">Deployment accelerates, particularly in direct lending and secondaries.</w:t>
      </w:r>
    </w:p>
    <w:p>
      <w:pPr>
        <w:pStyle w:val="Compact"/>
        <w:numPr>
          <w:ilvl w:val="0"/>
          <w:numId w:val="1008"/>
        </w:numPr>
      </w:pPr>
      <w:r>
        <w:t xml:space="preserve">Retail redemptions remain isolated and are offset by institutional and other wealth-product inflows.</w:t>
      </w:r>
    </w:p>
    <w:p>
      <w:pPr>
        <w:pStyle w:val="Compact"/>
        <w:numPr>
          <w:ilvl w:val="0"/>
          <w:numId w:val="1008"/>
        </w:numPr>
      </w:pPr>
      <w:r>
        <w:t xml:space="preserve">FRE margins continue expanding despite temporary Q2 expenses.</w:t>
      </w:r>
    </w:p>
    <w:p>
      <w:pPr>
        <w:pStyle w:val="Compact"/>
        <w:numPr>
          <w:ilvl w:val="0"/>
          <w:numId w:val="1008"/>
        </w:numPr>
      </w:pPr>
      <w:r>
        <w:t xml:space="preserve">Management reiterates its longer-term growth framework and increases confidence in 2026 execution.</w:t>
      </w:r>
    </w:p>
    <w:bookmarkEnd w:id="24"/>
    <w:bookmarkStart w:id="25" w:name="base-case"/>
    <w:p>
      <w:pPr>
        <w:pStyle w:val="Heading3"/>
      </w:pPr>
      <w:r>
        <w:t xml:space="preserve">Base case</w:t>
      </w:r>
    </w:p>
    <w:p>
      <w:pPr>
        <w:pStyle w:val="Compact"/>
        <w:numPr>
          <w:ilvl w:val="0"/>
          <w:numId w:val="1009"/>
        </w:numPr>
      </w:pPr>
      <w:r>
        <w:t xml:space="preserve">Continued double-digit growth in management fees, FRE and FPAUM.</w:t>
      </w:r>
    </w:p>
    <w:p>
      <w:pPr>
        <w:pStyle w:val="Compact"/>
        <w:numPr>
          <w:ilvl w:val="0"/>
          <w:numId w:val="1009"/>
        </w:numPr>
      </w:pPr>
      <w:r>
        <w:t xml:space="preserve">Healthy but somewhat uneven deployment across strategies.</w:t>
      </w:r>
    </w:p>
    <w:p>
      <w:pPr>
        <w:pStyle w:val="Compact"/>
        <w:numPr>
          <w:ilvl w:val="0"/>
          <w:numId w:val="1009"/>
        </w:numPr>
      </w:pPr>
      <w:r>
        <w:t xml:space="preserve">Retail flows remain a headline issue but do not materially impair firmwide economics.</w:t>
      </w:r>
    </w:p>
    <w:p>
      <w:pPr>
        <w:pStyle w:val="Compact"/>
        <w:numPr>
          <w:ilvl w:val="0"/>
          <w:numId w:val="1009"/>
        </w:numPr>
      </w:pPr>
      <w:r>
        <w:t xml:space="preserve">No major change to full-year targets or capital-return policy.</w:t>
      </w:r>
    </w:p>
    <w:bookmarkEnd w:id="25"/>
    <w:bookmarkStart w:id="26" w:name="bear-case"/>
    <w:p>
      <w:pPr>
        <w:pStyle w:val="Heading3"/>
      </w:pPr>
      <w:r>
        <w:t xml:space="preserve">Bear case</w:t>
      </w:r>
    </w:p>
    <w:p>
      <w:pPr>
        <w:pStyle w:val="Compact"/>
        <w:numPr>
          <w:ilvl w:val="0"/>
          <w:numId w:val="1010"/>
        </w:numPr>
      </w:pPr>
      <w:r>
        <w:t xml:space="preserve">Net redemptions broaden in wealth products or affect fee-paying AUM more materially than expected.</w:t>
      </w:r>
    </w:p>
    <w:p>
      <w:pPr>
        <w:pStyle w:val="Compact"/>
        <w:numPr>
          <w:ilvl w:val="0"/>
          <w:numId w:val="1010"/>
        </w:numPr>
      </w:pPr>
      <w:r>
        <w:t xml:space="preserve">U.S. direct-lending deployment stays muted, delaying conversion of dry powder into fee revenue.</w:t>
      </w:r>
    </w:p>
    <w:p>
      <w:pPr>
        <w:pStyle w:val="Compact"/>
        <w:numPr>
          <w:ilvl w:val="0"/>
          <w:numId w:val="1010"/>
        </w:numPr>
      </w:pPr>
      <w:r>
        <w:t xml:space="preserve">Higher expenses, slower margin expansion or weaker realizations pressure realized income.</w:t>
      </w:r>
    </w:p>
    <w:p>
      <w:pPr>
        <w:pStyle w:val="Compact"/>
        <w:numPr>
          <w:ilvl w:val="0"/>
          <w:numId w:val="1010"/>
        </w:numPr>
      </w:pPr>
      <w:r>
        <w:t xml:space="preserve">Credit-quality commentary becomes more cautious, particularly on software, sponsor-backed borrowers or real estate.</w:t>
      </w:r>
    </w:p>
    <w:p>
      <w:r>
        <w:pict>
          <v:rect style="width:0;height:1.5pt" o:hralign="center" o:hrstd="t" o:hr="t"/>
        </w:pict>
      </w:r>
    </w:p>
    <w:bookmarkEnd w:id="26"/>
    <w:bookmarkEnd w:id="27"/>
    <w:bookmarkStart w:id="28" w:name="bottom-line"/>
    <w:p>
      <w:pPr>
        <w:pStyle w:val="Heading2"/>
      </w:pPr>
      <w:r>
        <w:t xml:space="preserve">Bottom line</w:t>
      </w:r>
    </w:p>
    <w:p>
      <w:pPr>
        <w:pStyle w:val="FirstParagraph"/>
      </w:pPr>
      <w:r>
        <w:rPr>
          <w:b/>
          <w:bCs/>
        </w:rPr>
        <w:t xml:space="preserve">Ares’ Q2 report is likely to be judged less on a single EPS number and more on proof that the platform’s growth flywheel remains intact:</w:t>
      </w:r>
      <w:r>
        <w:t xml:space="preserve"> </w:t>
      </w:r>
      <w:r>
        <w:t xml:space="preserve">fundraising → deployment → fee-paying AUM → management fees and margin expansion.</w:t>
      </w:r>
    </w:p>
    <w:p>
      <w:pPr>
        <w:pStyle w:val="BodyText"/>
      </w:pPr>
      <w:r>
        <w:t xml:space="preserve">The most favorable setup would be strong institutional fundraising, sustained deployment, contained retail redemptions and evidence that the large stock of not-yet-fee-paying AUM is moving into revenue-generating assets. The largest downside risk is not an abrupt collapse in earnings; it is a narrative shift in which wealth-channel pressure, softer direct-lending activity and credit concerns lead investors to discount the durability of Ares’ high-growth fee model.</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7" Target="https://www.aresmgmt.com/news-views/perspectives/ai-era-spurs-recalibration-not-retreat-software?utm_source=openai" TargetMode="External" /><Relationship Type="http://schemas.openxmlformats.org/officeDocument/2006/relationships/hyperlink" Id="rId20" Target="https://www.aresmgmt.com/our-business/secondaries?utm_source=openai" TargetMode="External" /><Relationship Type="http://schemas.openxmlformats.org/officeDocument/2006/relationships/hyperlink" Id="rId10" Target="https://www.aresmgmt.com/our-business?utm_source=openai" TargetMode="External" /></Relationships>
</file>

<file path=word/_rels/footnotes.xml.rels><?xml version="1.0" encoding="UTF-8"?><Relationships xmlns="http://schemas.openxmlformats.org/package/2006/relationships"><Relationship Type="http://schemas.openxmlformats.org/officeDocument/2006/relationships/hyperlink" Id="rId17" Target="https://www.aresmgmt.com/news-views/perspectives/ai-era-spurs-recalibration-not-retreat-software?utm_source=openai" TargetMode="External" /><Relationship Type="http://schemas.openxmlformats.org/officeDocument/2006/relationships/hyperlink" Id="rId20" Target="https://www.aresmgmt.com/our-business/secondaries?utm_source=openai" TargetMode="External" /><Relationship Type="http://schemas.openxmlformats.org/officeDocument/2006/relationships/hyperlink" Id="rId10" Target="https://www.aresmgmt.com/our-busines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2026-07-31T00:20:40Z</dcterms:created>
  <dcterms:modified xsi:type="dcterms:W3CDTF">2026-07-31T00:20:40Z</dcterms:modified>
</cp:coreProperties>
</file>

<file path=docProps/custom.xml><?xml version="1.0" encoding="utf-8"?>
<Properties xmlns="http://schemas.openxmlformats.org/officeDocument/2006/custom-properties" xmlns:vt="http://schemas.openxmlformats.org/officeDocument/2006/docPropsVTypes"/>
</file>