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Ares Management Corporation (ARES)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ARES</w:t>
            </w:r>
          </w:p>
        </w:tc>
        <w:tc>
          <w:tcPr>
            <w:tcW w:type="dxa" w:w="2160"/>
          </w:tcPr>
          <w:p>
            <w:r>
              <w:rPr>
                <w:rFonts w:ascii="Calibri" w:hAnsi="Calibri"/>
                <w:b/>
                <w:sz w:val="22"/>
              </w:rPr>
              <w:t>Earnings Date</w:t>
            </w:r>
          </w:p>
        </w:tc>
        <w:tc>
          <w:tcPr>
            <w:tcW w:type="dxa" w:w="2160"/>
          </w:tcPr>
          <w:p>
            <w:r>
              <w:rPr>
                <w:rFonts w:ascii="Calibri" w:hAnsi="Calibri"/>
                <w:sz w:val="22"/>
              </w:rPr>
              <w:t>July 31, 2026 (BMO)</w:t>
            </w:r>
          </w:p>
        </w:tc>
      </w:tr>
      <w:tr>
        <w:tc>
          <w:tcPr>
            <w:tcW w:type="dxa" w:w="2160"/>
          </w:tcPr>
          <w:p>
            <w:r>
              <w:rPr>
                <w:rFonts w:ascii="Calibri" w:hAnsi="Calibri"/>
                <w:b/>
                <w:sz w:val="22"/>
              </w:rPr>
              <w:t>Sector</w:t>
            </w:r>
          </w:p>
        </w:tc>
        <w:tc>
          <w:tcPr>
            <w:tcW w:type="dxa" w:w="2160"/>
          </w:tcPr>
          <w:p>
            <w:r>
              <w:rPr>
                <w:rFonts w:ascii="Calibri" w:hAnsi="Calibri"/>
                <w:sz w:val="22"/>
              </w:rPr>
              <w:t>Alternative Asset Management</w:t>
            </w:r>
          </w:p>
        </w:tc>
        <w:tc>
          <w:tcPr>
            <w:tcW w:type="dxa" w:w="2160"/>
          </w:tcPr>
          <w:p>
            <w:r>
              <w:rPr>
                <w:rFonts w:ascii="Calibri" w:hAnsi="Calibri"/>
                <w:b/>
                <w:sz w:val="22"/>
              </w:rPr>
              <w:t>Prepared</w:t>
            </w:r>
          </w:p>
        </w:tc>
        <w:tc>
          <w:tcPr>
            <w:tcW w:type="dxa" w:w="2160"/>
          </w:tcPr>
          <w:p>
            <w:r>
              <w:rPr>
                <w:rFonts w:ascii="Calibri" w:hAnsi="Calibri"/>
                <w:sz w:val="22"/>
              </w:rPr>
              <w:t>July 30, 2026</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Last Earnings</w:t>
            </w:r>
          </w:p>
        </w:tc>
        <w:tc>
          <w:tcPr>
            <w:tcW w:type="dxa" w:w="2160"/>
          </w:tcPr>
          <w:p>
            <w:r>
              <w:rPr>
                <w:rFonts w:ascii="Calibri" w:hAnsi="Calibri"/>
                <w:sz w:val="22"/>
              </w:rPr>
              <w:t>May 1,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after two consecutive misses, the July 9 8-K pre-announced realized net performance income above $50M (vs. $16M a year ago), and record Q2 wealth inflows of ~$3.6B signal the platform is holding up better than feared; the biggest swing factor is whether FRE comes in at or above the high end of the 0–150 bps margin expansion target.</w:t>
      </w:r>
    </w:p>
    <w:p>
      <w:r>
        <w:rPr>
          <w:rFonts w:ascii="Calibri" w:hAnsi="Calibri"/>
          <w:color w:val="525866"/>
          <w:sz w:val="22"/>
        </w:rPr>
        <w:t xml:space="preserve">Heading into Q2 2026 results, the bar for ARES is achievable: consensus sits at </w:t>
      </w:r>
      <w:r>
        <w:rPr>
          <w:rFonts w:ascii="Calibri" w:hAnsi="Calibri"/>
          <w:b/>
          <w:color w:val="525866"/>
          <w:sz w:val="22"/>
        </w:rPr>
        <w:t>$1.28 after-tax realized income per share</w:t>
      </w:r>
      <w:r>
        <w:rPr>
          <w:rFonts w:ascii="Calibri" w:hAnsi="Calibri"/>
          <w:color w:val="525866"/>
          <w:sz w:val="22"/>
        </w:rPr>
        <w:t xml:space="preserve"> and ~$483M in FRE, both modestly below the Q4 2025 peak, reflecting two consecutive misses that have tempered expectations. Management's tone since the May 1 print has been notably confident — reaffirming record-year fundraising, flagging a significant first close for the global data center equity fund in summer 2026, and confirming the Pathfinder III ABF fund closed at its hard cap (~$12.5B total capital) in June — all of which point to FPAUM momentum that should translate into management fee upside. Estimate revisions have been essentially flat since the Q1 print (FRE consensus down only ~0.6% from the post-earnings baseline), suggesting the Street has not yet priced in the positive fundraising data points disclosed at conferences. The stock has outperformed peers since May 1 (+4.3% vs. BX +1.4%, KKR -2.6%, APO -7.8%), but pulled back ~8% from its mid-June peak of ~$135 amid broader alt-manager sector weakness, leaving the multiple at a reasonable entry point relative to the growth trajectory. The key wildcard is </w:t>
      </w:r>
      <w:r>
        <w:rPr>
          <w:rFonts w:ascii="Calibri" w:hAnsi="Calibri"/>
          <w:b/>
          <w:color w:val="525866"/>
          <w:sz w:val="22"/>
        </w:rPr>
        <w:t>performance income timing</w:t>
      </w:r>
      <w:r>
        <w:rPr>
          <w:rFonts w:ascii="Calibri" w:hAnsi="Calibri"/>
          <w:color w:val="525866"/>
          <w:sz w:val="22"/>
        </w:rPr>
        <w:t>: the July 9 8-K pre-announced realized net performance income &gt;$50M for Q2 (vs. $16M in Q2 2025), a 3x+ year-over-year improvement that was not fully in consensus, and any upside to FRE margin from GCP integration efficiencies or the data center fund turning fee-paying could drive a meaningful beat.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after two consecutive misses; </w:t>
      </w:r>
      <w:r>
        <w:rPr>
          <w:rFonts w:ascii="Calibri" w:hAnsi="Calibri"/>
          <w:b/>
          <w:color w:val="525866"/>
          <w:sz w:val="22"/>
        </w:rPr>
        <w:t>FRE and FPAUM are the bigger swing factors</w:t>
      </w:r>
      <w:r>
        <w:rPr>
          <w:rFonts w:ascii="Calibri" w:hAnsi="Calibri"/>
          <w:color w:val="525866"/>
          <w:sz w:val="22"/>
        </w:rPr>
        <w:t xml:space="preserve"> — management fees crossing $1B in Q1 set a high base, but the Street is only modeling ~$1.05B for Q2, leaving room for upside if deployment and fundraising momentum continues.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(PY)</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After-Tax Realized Income / Share ($)</w:t>
            </w:r>
          </w:p>
        </w:tc>
        <w:tc>
          <w:tcPr>
            <w:tcW w:type="dxa" w:w="1234"/>
          </w:tcPr>
          <w:p>
            <w:r>
              <w:rPr>
                <w:rFonts w:ascii="Calibri" w:hAnsi="Calibri"/>
                <w:sz w:val="22"/>
              </w:rPr>
              <w:t>$1.24</w:t>
            </w:r>
          </w:p>
        </w:tc>
        <w:tc>
          <w:tcPr>
            <w:tcW w:type="dxa" w:w="1234"/>
          </w:tcPr>
          <w:p>
            <w:r>
              <w:rPr>
                <w:rFonts w:ascii="Calibri" w:hAnsi="Calibri"/>
                <w:sz w:val="22"/>
              </w:rPr>
              <w:t>$1.03</w:t>
            </w:r>
          </w:p>
        </w:tc>
        <w:tc>
          <w:tcPr>
            <w:tcW w:type="dxa" w:w="1234"/>
          </w:tcPr>
          <w:p>
            <w:r>
              <w:rPr>
                <w:rFonts w:ascii="Calibri" w:hAnsi="Calibri"/>
                <w:sz w:val="22"/>
              </w:rPr>
              <w:t>$1.28</w:t>
            </w:r>
          </w:p>
        </w:tc>
        <w:tc>
          <w:tcPr>
            <w:tcW w:type="dxa" w:w="1234"/>
          </w:tcPr>
          <w:p>
            <w:r>
              <w:rPr>
                <w:rFonts w:ascii="Calibri" w:hAnsi="Calibri"/>
                <w:b/>
                <w:color w:val="30A46C"/>
                <w:sz w:val="22"/>
              </w:rPr>
              <w:t>+24.3%</w:t>
            </w:r>
          </w:p>
        </w:tc>
        <w:tc>
          <w:tcPr>
            <w:tcW w:type="dxa" w:w="1234"/>
          </w:tcPr>
          <w:p>
            <w:r>
              <w:rPr>
                <w:rFonts w:ascii="Calibri" w:hAnsi="Calibri"/>
                <w:sz w:val="22"/>
              </w:rPr>
              <w:t>20–25% CAGR (LT target)</w:t>
            </w:r>
          </w:p>
        </w:tc>
        <w:tc>
          <w:tcPr>
            <w:tcW w:type="dxa" w:w="1234"/>
          </w:tcPr>
          <w:p>
            <w:r>
              <w:rPr>
                <w:rFonts w:ascii="Calibri" w:hAnsi="Calibri"/>
                <w:sz w:val="22"/>
              </w:rPr>
              <w:t>N/A (LT range)</w:t>
            </w:r>
          </w:p>
        </w:tc>
      </w:tr>
      <w:tr>
        <w:tc>
          <w:tcPr>
            <w:tcW w:type="dxa" w:w="1234"/>
          </w:tcPr>
          <w:p>
            <w:r>
              <w:rPr>
                <w:rFonts w:ascii="Calibri" w:hAnsi="Calibri"/>
                <w:sz w:val="22"/>
              </w:rPr>
              <w:t>Fee-Related Earnings ($M)</w:t>
            </w:r>
          </w:p>
        </w:tc>
        <w:tc>
          <w:tcPr>
            <w:tcW w:type="dxa" w:w="1234"/>
          </w:tcPr>
          <w:p>
            <w:r>
              <w:rPr>
                <w:rFonts w:ascii="Calibri" w:hAnsi="Calibri"/>
                <w:sz w:val="22"/>
              </w:rPr>
              <w:t>$464M</w:t>
            </w:r>
          </w:p>
        </w:tc>
        <w:tc>
          <w:tcPr>
            <w:tcW w:type="dxa" w:w="1234"/>
          </w:tcPr>
          <w:p>
            <w:r>
              <w:rPr>
                <w:rFonts w:ascii="Calibri" w:hAnsi="Calibri"/>
                <w:sz w:val="22"/>
              </w:rPr>
              <w:t>$409M</w:t>
            </w:r>
          </w:p>
        </w:tc>
        <w:tc>
          <w:tcPr>
            <w:tcW w:type="dxa" w:w="1234"/>
          </w:tcPr>
          <w:p>
            <w:r>
              <w:rPr>
                <w:rFonts w:ascii="Calibri" w:hAnsi="Calibri"/>
                <w:sz w:val="22"/>
              </w:rPr>
              <w:t>$483M</w:t>
            </w:r>
          </w:p>
        </w:tc>
        <w:tc>
          <w:tcPr>
            <w:tcW w:type="dxa" w:w="1234"/>
          </w:tcPr>
          <w:p>
            <w:r>
              <w:rPr>
                <w:rFonts w:ascii="Calibri" w:hAnsi="Calibri"/>
                <w:b/>
                <w:color w:val="30A46C"/>
                <w:sz w:val="22"/>
              </w:rPr>
              <w:t>+18.1%</w:t>
            </w:r>
          </w:p>
        </w:tc>
        <w:tc>
          <w:tcPr>
            <w:tcW w:type="dxa" w:w="1234"/>
          </w:tcPr>
          <w:p>
            <w:r>
              <w:rPr>
                <w:rFonts w:ascii="Calibri" w:hAnsi="Calibri"/>
                <w:sz w:val="22"/>
              </w:rPr>
              <w:t>16–20% CAGR (LT target)</w:t>
            </w:r>
          </w:p>
        </w:tc>
        <w:tc>
          <w:tcPr>
            <w:tcW w:type="dxa" w:w="1234"/>
          </w:tcPr>
          <w:p>
            <w:r>
              <w:rPr>
                <w:rFonts w:ascii="Calibri" w:hAnsi="Calibri"/>
                <w:sz w:val="22"/>
              </w:rPr>
              <w:t>N/A (LT range)</w:t>
            </w:r>
          </w:p>
        </w:tc>
      </w:tr>
      <w:tr>
        <w:tc>
          <w:tcPr>
            <w:tcW w:type="dxa" w:w="1234"/>
          </w:tcPr>
          <w:p>
            <w:r>
              <w:rPr>
                <w:rFonts w:ascii="Calibri" w:hAnsi="Calibri"/>
                <w:sz w:val="22"/>
              </w:rPr>
              <w:t>FRE Margin (%)</w:t>
            </w:r>
          </w:p>
        </w:tc>
        <w:tc>
          <w:tcPr>
            <w:tcW w:type="dxa" w:w="1234"/>
          </w:tcPr>
          <w:p>
            <w:r>
              <w:rPr>
                <w:rFonts w:ascii="Calibri" w:hAnsi="Calibri"/>
                <w:sz w:val="22"/>
              </w:rPr>
              <w:t>42.4%</w:t>
            </w:r>
          </w:p>
        </w:tc>
        <w:tc>
          <w:tcPr>
            <w:tcW w:type="dxa" w:w="1234"/>
          </w:tcPr>
          <w:p>
            <w:r>
              <w:rPr>
                <w:rFonts w:ascii="Calibri" w:hAnsi="Calibri"/>
                <w:sz w:val="22"/>
              </w:rPr>
              <w:t>41.2%</w:t>
            </w:r>
          </w:p>
        </w:tc>
        <w:tc>
          <w:tcPr>
            <w:tcW w:type="dxa" w:w="1234"/>
          </w:tcPr>
          <w:p>
            <w:r>
              <w:rPr>
                <w:rFonts w:ascii="Calibri" w:hAnsi="Calibri"/>
                <w:sz w:val="22"/>
              </w:rPr>
              <w:t>42.1%</w:t>
            </w:r>
          </w:p>
        </w:tc>
        <w:tc>
          <w:tcPr>
            <w:tcW w:type="dxa" w:w="1234"/>
          </w:tcPr>
          <w:p>
            <w:r>
              <w:rPr>
                <w:rFonts w:ascii="Calibri" w:hAnsi="Calibri"/>
                <w:sz w:val="22"/>
              </w:rPr>
              <w:t>+90 bps YoY</w:t>
            </w:r>
          </w:p>
        </w:tc>
        <w:tc>
          <w:tcPr>
            <w:tcW w:type="dxa" w:w="1234"/>
          </w:tcPr>
          <w:p>
            <w:r>
              <w:rPr>
                <w:rFonts w:ascii="Calibri" w:hAnsi="Calibri"/>
                <w:sz w:val="22"/>
              </w:rPr>
              <w:t>High end of 0–150 bps annual expansion</w:t>
            </w:r>
          </w:p>
        </w:tc>
        <w:tc>
          <w:tcPr>
            <w:tcW w:type="dxa" w:w="1234"/>
          </w:tcPr>
          <w:p>
            <w:r>
              <w:rPr>
                <w:rFonts w:ascii="Calibri" w:hAnsi="Calibri"/>
                <w:sz w:val="22"/>
              </w:rPr>
              <w:t>~Inline (high end = ~42.7%)</w:t>
            </w:r>
          </w:p>
        </w:tc>
      </w:tr>
      <w:tr>
        <w:tc>
          <w:tcPr>
            <w:tcW w:type="dxa" w:w="1234"/>
          </w:tcPr>
          <w:p>
            <w:r>
              <w:rPr>
                <w:rFonts w:ascii="Calibri" w:hAnsi="Calibri"/>
                <w:sz w:val="22"/>
              </w:rPr>
              <w:t>Management Fees ($M)</w:t>
            </w:r>
          </w:p>
        </w:tc>
        <w:tc>
          <w:tcPr>
            <w:tcW w:type="dxa" w:w="1234"/>
          </w:tcPr>
          <w:p>
            <w:r>
              <w:rPr>
                <w:rFonts w:ascii="Calibri" w:hAnsi="Calibri"/>
                <w:sz w:val="22"/>
              </w:rPr>
              <w:t>$1,002M</w:t>
            </w:r>
          </w:p>
        </w:tc>
        <w:tc>
          <w:tcPr>
            <w:tcW w:type="dxa" w:w="1234"/>
          </w:tcPr>
          <w:p>
            <w:r>
              <w:rPr>
                <w:rFonts w:ascii="Calibri" w:hAnsi="Calibri"/>
                <w:sz w:val="22"/>
              </w:rPr>
              <w:t>$900M</w:t>
            </w:r>
          </w:p>
        </w:tc>
        <w:tc>
          <w:tcPr>
            <w:tcW w:type="dxa" w:w="1234"/>
          </w:tcPr>
          <w:p>
            <w:r>
              <w:rPr>
                <w:rFonts w:ascii="Calibri" w:hAnsi="Calibri"/>
                <w:sz w:val="22"/>
              </w:rPr>
              <w:t>$1,048M</w:t>
            </w:r>
          </w:p>
        </w:tc>
        <w:tc>
          <w:tcPr>
            <w:tcW w:type="dxa" w:w="1234"/>
          </w:tcPr>
          <w:p>
            <w:r>
              <w:rPr>
                <w:rFonts w:ascii="Calibri" w:hAnsi="Calibri"/>
                <w:b/>
                <w:color w:val="30A46C"/>
                <w:sz w:val="22"/>
              </w:rPr>
              <w:t>+16.4%</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FPAUM ($B)</w:t>
            </w:r>
          </w:p>
        </w:tc>
        <w:tc>
          <w:tcPr>
            <w:tcW w:type="dxa" w:w="1234"/>
          </w:tcPr>
          <w:p>
            <w:r>
              <w:rPr>
                <w:rFonts w:ascii="Calibri" w:hAnsi="Calibri"/>
                <w:sz w:val="22"/>
              </w:rPr>
              <w:t>$400B</w:t>
            </w:r>
          </w:p>
        </w:tc>
        <w:tc>
          <w:tcPr>
            <w:tcW w:type="dxa" w:w="1234"/>
          </w:tcPr>
          <w:p>
            <w:r>
              <w:rPr>
                <w:rFonts w:ascii="Calibri" w:hAnsi="Calibri"/>
                <w:sz w:val="22"/>
              </w:rPr>
              <w:t>$350B</w:t>
            </w:r>
          </w:p>
        </w:tc>
        <w:tc>
          <w:tcPr>
            <w:tcW w:type="dxa" w:w="1234"/>
          </w:tcPr>
          <w:p>
            <w:r>
              <w:rPr>
                <w:rFonts w:ascii="Calibri" w:hAnsi="Calibri"/>
                <w:sz w:val="22"/>
              </w:rPr>
              <w:t>$414B</w:t>
            </w:r>
          </w:p>
        </w:tc>
        <w:tc>
          <w:tcPr>
            <w:tcW w:type="dxa" w:w="1234"/>
          </w:tcPr>
          <w:p>
            <w:r>
              <w:rPr>
                <w:rFonts w:ascii="Calibri" w:hAnsi="Calibri"/>
                <w:b/>
                <w:color w:val="30A46C"/>
                <w:sz w:val="22"/>
              </w:rPr>
              <w:t>+18.4%</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Total AUM ($B)</w:t>
            </w:r>
          </w:p>
        </w:tc>
        <w:tc>
          <w:tcPr>
            <w:tcW w:type="dxa" w:w="1234"/>
          </w:tcPr>
          <w:p>
            <w:r>
              <w:rPr>
                <w:rFonts w:ascii="Calibri" w:hAnsi="Calibri"/>
                <w:sz w:val="22"/>
              </w:rPr>
              <w:t>$644B</w:t>
            </w:r>
          </w:p>
        </w:tc>
        <w:tc>
          <w:tcPr>
            <w:tcW w:type="dxa" w:w="1234"/>
          </w:tcPr>
          <w:p>
            <w:r>
              <w:rPr>
                <w:rFonts w:ascii="Calibri" w:hAnsi="Calibri"/>
                <w:sz w:val="22"/>
              </w:rPr>
              <w:t>$572B</w:t>
            </w:r>
          </w:p>
        </w:tc>
        <w:tc>
          <w:tcPr>
            <w:tcW w:type="dxa" w:w="1234"/>
          </w:tcPr>
          <w:p>
            <w:r>
              <w:rPr>
                <w:rFonts w:ascii="Calibri" w:hAnsi="Calibri"/>
                <w:sz w:val="22"/>
              </w:rPr>
              <w:t>$667B</w:t>
            </w:r>
          </w:p>
        </w:tc>
        <w:tc>
          <w:tcPr>
            <w:tcW w:type="dxa" w:w="1234"/>
          </w:tcPr>
          <w:p>
            <w:r>
              <w:rPr>
                <w:rFonts w:ascii="Calibri" w:hAnsi="Calibri"/>
                <w:b/>
                <w:color w:val="30A46C"/>
                <w:sz w:val="22"/>
              </w:rPr>
              <w:t>+16.5%</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Capital Deployment ($B)</w:t>
            </w:r>
          </w:p>
        </w:tc>
        <w:tc>
          <w:tcPr>
            <w:tcW w:type="dxa" w:w="1234"/>
          </w:tcPr>
          <w:p>
            <w:r>
              <w:rPr>
                <w:rFonts w:ascii="Calibri" w:hAnsi="Calibri"/>
                <w:sz w:val="22"/>
              </w:rPr>
              <w:t>$32.3B</w:t>
            </w:r>
          </w:p>
        </w:tc>
        <w:tc>
          <w:tcPr>
            <w:tcW w:type="dxa" w:w="1234"/>
          </w:tcPr>
          <w:p>
            <w:r>
              <w:rPr>
                <w:rFonts w:ascii="Calibri" w:hAnsi="Calibri"/>
                <w:sz w:val="22"/>
              </w:rPr>
              <w:t>$26.9B</w:t>
            </w:r>
          </w:p>
        </w:tc>
        <w:tc>
          <w:tcPr>
            <w:tcW w:type="dxa" w:w="1234"/>
          </w:tcPr>
          <w:p>
            <w:r>
              <w:rPr>
                <w:rFonts w:ascii="Calibri" w:hAnsi="Calibri"/>
                <w:sz w:val="22"/>
              </w:rPr>
              <w:t>$33.9B</w:t>
            </w:r>
          </w:p>
        </w:tc>
        <w:tc>
          <w:tcPr>
            <w:tcW w:type="dxa" w:w="1234"/>
          </w:tcPr>
          <w:p>
            <w:r>
              <w:rPr>
                <w:rFonts w:ascii="Calibri" w:hAnsi="Calibri"/>
                <w:b/>
                <w:color w:val="30A46C"/>
                <w:sz w:val="22"/>
              </w:rPr>
              <w:t>+26.0%</w:t>
            </w:r>
          </w:p>
        </w:tc>
        <w:tc>
          <w:tcPr>
            <w:tcW w:type="dxa" w:w="1234"/>
          </w:tcPr>
          <w:p>
            <w:r>
              <w:rPr>
                <w:rFonts w:ascii="Calibri" w:hAnsi="Calibri"/>
                <w:sz w:val="22"/>
              </w:rPr>
              <w:t>Record pipeline; back-half acceleration expected</w:t>
            </w:r>
          </w:p>
        </w:tc>
        <w:tc>
          <w:tcPr>
            <w:tcW w:type="dxa" w:w="1234"/>
          </w:tcPr>
          <w:p>
            <w:r>
              <w:rPr>
                <w:rFonts w:ascii="Calibri" w:hAnsi="Calibri"/>
                <w:sz w:val="22"/>
              </w:rPr>
              <w:t>N/A</w:t>
            </w:r>
          </w:p>
        </w:tc>
      </w:tr>
      <w:tr>
        <w:tc>
          <w:tcPr>
            <w:tcW w:type="dxa" w:w="1234"/>
          </w:tcPr>
          <w:p>
            <w:r>
              <w:rPr>
                <w:rFonts w:ascii="Calibri" w:hAnsi="Calibri"/>
                <w:sz w:val="22"/>
              </w:rPr>
              <w:t>Fee-Related Performance Revenues ($M)</w:t>
            </w:r>
          </w:p>
        </w:tc>
        <w:tc>
          <w:tcPr>
            <w:tcW w:type="dxa" w:w="1234"/>
          </w:tcPr>
          <w:p>
            <w:r>
              <w:rPr>
                <w:rFonts w:ascii="Calibri" w:hAnsi="Calibri"/>
                <w:sz w:val="22"/>
              </w:rPr>
              <w:t>$19.6M</w:t>
            </w:r>
          </w:p>
        </w:tc>
        <w:tc>
          <w:tcPr>
            <w:tcW w:type="dxa" w:w="1234"/>
          </w:tcPr>
          <w:p>
            <w:r>
              <w:rPr>
                <w:rFonts w:ascii="Calibri" w:hAnsi="Calibri"/>
                <w:sz w:val="22"/>
              </w:rPr>
              <w:t>$16.7M</w:t>
            </w:r>
          </w:p>
        </w:tc>
        <w:tc>
          <w:tcPr>
            <w:tcW w:type="dxa" w:w="1234"/>
          </w:tcPr>
          <w:p>
            <w:r>
              <w:rPr>
                <w:rFonts w:ascii="Calibri" w:hAnsi="Calibri"/>
                <w:sz w:val="22"/>
              </w:rPr>
              <w:t>$23.1M</w:t>
            </w:r>
          </w:p>
        </w:tc>
        <w:tc>
          <w:tcPr>
            <w:tcW w:type="dxa" w:w="1234"/>
          </w:tcPr>
          <w:p>
            <w:r>
              <w:rPr>
                <w:rFonts w:ascii="Calibri" w:hAnsi="Calibri"/>
                <w:b/>
                <w:color w:val="30A46C"/>
                <w:sz w:val="22"/>
              </w:rPr>
              <w:t>+38.3%</w:t>
            </w:r>
          </w:p>
        </w:tc>
        <w:tc>
          <w:tcPr>
            <w:tcW w:type="dxa" w:w="1234"/>
          </w:tcPr>
          <w:p>
            <w:r>
              <w:rPr>
                <w:rFonts w:ascii="Calibri" w:hAnsi="Calibri"/>
                <w:sz w:val="22"/>
              </w:rPr>
              <w:t>Alt. credit FRPR typically recognized in Q3</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30, 2026.</w:t>
      </w:r>
    </w:p>
    <w:p>
      <w:pPr>
        <w:pStyle w:val="Heading2"/>
      </w:pPr>
      <w:r>
        <w:rPr>
          <w:rFonts w:ascii="Calibri" w:hAnsi="Calibri"/>
          <w:b/>
          <w:color w:val="3B4259"/>
          <w:sz w:val="28"/>
        </w:rPr>
        <w:t>Table 2 — Beat/Miss History (Last 8 Quarters) — Top 2 KPIs: After-Tax Realized Income/Share &amp; FRE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Realized Income/Share</w:t>
            </w:r>
          </w:p>
        </w:tc>
        <w:tc>
          <w:tcPr>
            <w:tcW w:type="dxa" w:w="1440"/>
          </w:tcPr>
          <w:p>
            <w:r>
              <w:rPr>
                <w:rFonts w:ascii="Calibri" w:hAnsi="Calibri"/>
                <w:sz w:val="22"/>
              </w:rPr>
              <w:t>$1.24</w:t>
            </w:r>
          </w:p>
        </w:tc>
        <w:tc>
          <w:tcPr>
            <w:tcW w:type="dxa" w:w="1440"/>
          </w:tcPr>
          <w:p>
            <w:r>
              <w:rPr>
                <w:rFonts w:ascii="Calibri" w:hAnsi="Calibri"/>
                <w:sz w:val="22"/>
              </w:rPr>
              <w:t>$1.33</w:t>
            </w:r>
          </w:p>
        </w:tc>
        <w:tc>
          <w:tcPr>
            <w:tcW w:type="dxa" w:w="1440"/>
          </w:tcPr>
          <w:p>
            <w:r>
              <w:rPr>
                <w:rFonts w:ascii="Calibri" w:hAnsi="Calibri"/>
                <w:b/>
                <w:color w:val="E5484D"/>
                <w:sz w:val="22"/>
              </w:rPr>
              <w:t>-6.8%</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FRE ($M)</w:t>
            </w:r>
          </w:p>
        </w:tc>
        <w:tc>
          <w:tcPr>
            <w:tcW w:type="dxa" w:w="1440"/>
          </w:tcPr>
          <w:p>
            <w:r>
              <w:rPr>
                <w:rFonts w:ascii="Calibri" w:hAnsi="Calibri"/>
                <w:sz w:val="22"/>
              </w:rPr>
              <w:t>$464M</w:t>
            </w:r>
          </w:p>
        </w:tc>
        <w:tc>
          <w:tcPr>
            <w:tcW w:type="dxa" w:w="1440"/>
          </w:tcPr>
          <w:p>
            <w:r>
              <w:rPr>
                <w:rFonts w:ascii="Calibri" w:hAnsi="Calibri"/>
                <w:sz w:val="22"/>
              </w:rPr>
              <w:t>$471M</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Realized Income/Share</w:t>
            </w:r>
          </w:p>
        </w:tc>
        <w:tc>
          <w:tcPr>
            <w:tcW w:type="dxa" w:w="1440"/>
          </w:tcPr>
          <w:p>
            <w:r>
              <w:rPr>
                <w:rFonts w:ascii="Calibri" w:hAnsi="Calibri"/>
                <w:sz w:val="22"/>
              </w:rPr>
              <w:t>$1.45</w:t>
            </w:r>
          </w:p>
        </w:tc>
        <w:tc>
          <w:tcPr>
            <w:tcW w:type="dxa" w:w="1440"/>
          </w:tcPr>
          <w:p>
            <w:r>
              <w:rPr>
                <w:rFonts w:ascii="Calibri" w:hAnsi="Calibri"/>
                <w:sz w:val="22"/>
              </w:rPr>
              <w:t>$1.68</w:t>
            </w:r>
          </w:p>
        </w:tc>
        <w:tc>
          <w:tcPr>
            <w:tcW w:type="dxa" w:w="1440"/>
          </w:tcPr>
          <w:p>
            <w:r>
              <w:rPr>
                <w:rFonts w:ascii="Calibri" w:hAnsi="Calibri"/>
                <w:b/>
                <w:color w:val="E5484D"/>
                <w:sz w:val="22"/>
              </w:rPr>
              <w:t>-13.7%</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FRE ($M)</w:t>
            </w:r>
          </w:p>
        </w:tc>
        <w:tc>
          <w:tcPr>
            <w:tcW w:type="dxa" w:w="1440"/>
          </w:tcPr>
          <w:p>
            <w:r>
              <w:rPr>
                <w:rFonts w:ascii="Calibri" w:hAnsi="Calibri"/>
                <w:sz w:val="22"/>
              </w:rPr>
              <w:t>$528M</w:t>
            </w:r>
          </w:p>
        </w:tc>
        <w:tc>
          <w:tcPr>
            <w:tcW w:type="dxa" w:w="1440"/>
          </w:tcPr>
          <w:p>
            <w:r>
              <w:rPr>
                <w:rFonts w:ascii="Calibri" w:hAnsi="Calibri"/>
                <w:sz w:val="22"/>
              </w:rPr>
              <w:t>$516M</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Realized Income/Share</w:t>
            </w:r>
          </w:p>
        </w:tc>
        <w:tc>
          <w:tcPr>
            <w:tcW w:type="dxa" w:w="1440"/>
          </w:tcPr>
          <w:p>
            <w:r>
              <w:rPr>
                <w:rFonts w:ascii="Calibri" w:hAnsi="Calibri"/>
                <w:sz w:val="22"/>
              </w:rPr>
              <w:t>$1.19</w:t>
            </w:r>
          </w:p>
        </w:tc>
        <w:tc>
          <w:tcPr>
            <w:tcW w:type="dxa" w:w="1440"/>
          </w:tcPr>
          <w:p>
            <w:r>
              <w:rPr>
                <w:rFonts w:ascii="Calibri" w:hAnsi="Calibri"/>
                <w:sz w:val="22"/>
              </w:rPr>
              <w:t>$1.15</w:t>
            </w:r>
          </w:p>
        </w:tc>
        <w:tc>
          <w:tcPr>
            <w:tcW w:type="dxa" w:w="1440"/>
          </w:tcPr>
          <w:p>
            <w:r>
              <w:rPr>
                <w:rFonts w:ascii="Calibri" w:hAnsi="Calibri"/>
                <w:b/>
                <w:color w:val="30A46C"/>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FRE ($M)</w:t>
            </w:r>
          </w:p>
        </w:tc>
        <w:tc>
          <w:tcPr>
            <w:tcW w:type="dxa" w:w="1440"/>
          </w:tcPr>
          <w:p>
            <w:r>
              <w:rPr>
                <w:rFonts w:ascii="Calibri" w:hAnsi="Calibri"/>
                <w:sz w:val="22"/>
              </w:rPr>
              <w:t>$471M</w:t>
            </w:r>
          </w:p>
        </w:tc>
        <w:tc>
          <w:tcPr>
            <w:tcW w:type="dxa" w:w="1440"/>
          </w:tcPr>
          <w:p>
            <w:r>
              <w:rPr>
                <w:rFonts w:ascii="Calibri" w:hAnsi="Calibri"/>
                <w:sz w:val="22"/>
              </w:rPr>
              <w:t>$443M</w:t>
            </w:r>
          </w:p>
        </w:tc>
        <w:tc>
          <w:tcPr>
            <w:tcW w:type="dxa" w:w="1440"/>
          </w:tcPr>
          <w:p>
            <w:r>
              <w:rPr>
                <w:rFonts w:ascii="Calibri" w:hAnsi="Calibri"/>
                <w:b/>
                <w:color w:val="30A46C"/>
                <w:sz w:val="22"/>
              </w:rPr>
              <w:t>+6.3%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Realized Income/Share</w:t>
            </w:r>
          </w:p>
        </w:tc>
        <w:tc>
          <w:tcPr>
            <w:tcW w:type="dxa" w:w="1440"/>
          </w:tcPr>
          <w:p>
            <w:r>
              <w:rPr>
                <w:rFonts w:ascii="Calibri" w:hAnsi="Calibri"/>
                <w:sz w:val="22"/>
              </w:rPr>
              <w:t>$1.03</w:t>
            </w:r>
          </w:p>
        </w:tc>
        <w:tc>
          <w:tcPr>
            <w:tcW w:type="dxa" w:w="1440"/>
          </w:tcPr>
          <w:p>
            <w:r>
              <w:rPr>
                <w:rFonts w:ascii="Calibri" w:hAnsi="Calibri"/>
                <w:sz w:val="22"/>
              </w:rPr>
              <w:t>$1.06</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FRE ($M)</w:t>
            </w:r>
          </w:p>
        </w:tc>
        <w:tc>
          <w:tcPr>
            <w:tcW w:type="dxa" w:w="1440"/>
          </w:tcPr>
          <w:p>
            <w:r>
              <w:rPr>
                <w:rFonts w:ascii="Calibri" w:hAnsi="Calibri"/>
                <w:sz w:val="22"/>
              </w:rPr>
              <w:t>$409M</w:t>
            </w:r>
          </w:p>
        </w:tc>
        <w:tc>
          <w:tcPr>
            <w:tcW w:type="dxa" w:w="1440"/>
          </w:tcPr>
          <w:p>
            <w:r>
              <w:rPr>
                <w:rFonts w:ascii="Calibri" w:hAnsi="Calibri"/>
                <w:sz w:val="22"/>
              </w:rPr>
              <w:t>$407M</w:t>
            </w:r>
          </w:p>
        </w:tc>
        <w:tc>
          <w:tcPr>
            <w:tcW w:type="dxa" w:w="1440"/>
          </w:tcPr>
          <w:p>
            <w:r>
              <w:rPr>
                <w:rFonts w:ascii="Calibri" w:hAnsi="Calibri"/>
                <w:b/>
                <w:color w:val="30A46C"/>
                <w:sz w:val="22"/>
              </w:rPr>
              <w:t>+0.4%</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Realized Income/Share</w:t>
            </w:r>
          </w:p>
        </w:tc>
        <w:tc>
          <w:tcPr>
            <w:tcW w:type="dxa" w:w="1440"/>
          </w:tcPr>
          <w:p>
            <w:r>
              <w:rPr>
                <w:rFonts w:ascii="Calibri" w:hAnsi="Calibri"/>
                <w:sz w:val="22"/>
              </w:rPr>
              <w:t>$1.09</w:t>
            </w:r>
          </w:p>
        </w:tc>
        <w:tc>
          <w:tcPr>
            <w:tcW w:type="dxa" w:w="1440"/>
          </w:tcPr>
          <w:p>
            <w:r>
              <w:rPr>
                <w:rFonts w:ascii="Calibri" w:hAnsi="Calibri"/>
                <w:sz w:val="22"/>
              </w:rPr>
              <w:t>$0.94</w:t>
            </w:r>
          </w:p>
        </w:tc>
        <w:tc>
          <w:tcPr>
            <w:tcW w:type="dxa" w:w="1440"/>
          </w:tcPr>
          <w:p>
            <w:r>
              <w:rPr>
                <w:rFonts w:ascii="Calibri" w:hAnsi="Calibri"/>
                <w:b/>
                <w:color w:val="30A46C"/>
                <w:sz w:val="22"/>
              </w:rPr>
              <w:t>+16.0%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FRE ($M)</w:t>
            </w:r>
          </w:p>
        </w:tc>
        <w:tc>
          <w:tcPr>
            <w:tcW w:type="dxa" w:w="1440"/>
          </w:tcPr>
          <w:p>
            <w:r>
              <w:rPr>
                <w:rFonts w:ascii="Calibri" w:hAnsi="Calibri"/>
                <w:sz w:val="22"/>
              </w:rPr>
              <w:t>$367M</w:t>
            </w:r>
          </w:p>
        </w:tc>
        <w:tc>
          <w:tcPr>
            <w:tcW w:type="dxa" w:w="1440"/>
          </w:tcPr>
          <w:p>
            <w:r>
              <w:rPr>
                <w:rFonts w:ascii="Calibri" w:hAnsi="Calibri"/>
                <w:sz w:val="22"/>
              </w:rPr>
              <w:t>$355M</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Realized Income/Share</w:t>
            </w:r>
          </w:p>
        </w:tc>
        <w:tc>
          <w:tcPr>
            <w:tcW w:type="dxa" w:w="1440"/>
          </w:tcPr>
          <w:p>
            <w:r>
              <w:rPr>
                <w:rFonts w:ascii="Calibri" w:hAnsi="Calibri"/>
                <w:sz w:val="22"/>
              </w:rPr>
              <w:t>$1.22</w:t>
            </w:r>
          </w:p>
        </w:tc>
        <w:tc>
          <w:tcPr>
            <w:tcW w:type="dxa" w:w="1440"/>
          </w:tcPr>
          <w:p>
            <w:r>
              <w:rPr>
                <w:rFonts w:ascii="Calibri" w:hAnsi="Calibri"/>
                <w:sz w:val="22"/>
              </w:rPr>
              <w:t>$1.29</w:t>
            </w:r>
          </w:p>
        </w:tc>
        <w:tc>
          <w:tcPr>
            <w:tcW w:type="dxa" w:w="1440"/>
          </w:tcPr>
          <w:p>
            <w:r>
              <w:rPr>
                <w:rFonts w:ascii="Calibri" w:hAnsi="Calibri"/>
                <w:b/>
                <w:color w:val="E5484D"/>
                <w:sz w:val="22"/>
              </w:rPr>
              <w:t>-5.4%</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FRE ($M)</w:t>
            </w:r>
          </w:p>
        </w:tc>
        <w:tc>
          <w:tcPr>
            <w:tcW w:type="dxa" w:w="1440"/>
          </w:tcPr>
          <w:p>
            <w:r>
              <w:rPr>
                <w:rFonts w:ascii="Calibri" w:hAnsi="Calibri"/>
                <w:sz w:val="22"/>
              </w:rPr>
              <w:t>$396M</w:t>
            </w:r>
          </w:p>
        </w:tc>
        <w:tc>
          <w:tcPr>
            <w:tcW w:type="dxa" w:w="1440"/>
          </w:tcPr>
          <w:p>
            <w:r>
              <w:rPr>
                <w:rFonts w:ascii="Calibri" w:hAnsi="Calibri"/>
                <w:sz w:val="22"/>
              </w:rPr>
              <w:t>$399M</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Realized Income/Share</w:t>
            </w:r>
          </w:p>
        </w:tc>
        <w:tc>
          <w:tcPr>
            <w:tcW w:type="dxa" w:w="1440"/>
          </w:tcPr>
          <w:p>
            <w:r>
              <w:rPr>
                <w:rFonts w:ascii="Calibri" w:hAnsi="Calibri"/>
                <w:sz w:val="22"/>
              </w:rPr>
              <w:t>$0.95</w:t>
            </w:r>
          </w:p>
        </w:tc>
        <w:tc>
          <w:tcPr>
            <w:tcW w:type="dxa" w:w="1440"/>
          </w:tcPr>
          <w:p>
            <w:r>
              <w:rPr>
                <w:rFonts w:ascii="Calibri" w:hAnsi="Calibri"/>
                <w:sz w:val="22"/>
              </w:rPr>
              <w:t>$0.94</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FRE ($M)</w:t>
            </w:r>
          </w:p>
        </w:tc>
        <w:tc>
          <w:tcPr>
            <w:tcW w:type="dxa" w:w="1440"/>
          </w:tcPr>
          <w:p>
            <w:r>
              <w:rPr>
                <w:rFonts w:ascii="Calibri" w:hAnsi="Calibri"/>
                <w:sz w:val="22"/>
              </w:rPr>
              <w:t>$339M</w:t>
            </w:r>
          </w:p>
        </w:tc>
        <w:tc>
          <w:tcPr>
            <w:tcW w:type="dxa" w:w="1440"/>
          </w:tcPr>
          <w:p>
            <w:r>
              <w:rPr>
                <w:rFonts w:ascii="Calibri" w:hAnsi="Calibri"/>
                <w:sz w:val="22"/>
              </w:rPr>
              <w:t>$339M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Realized Income/Share</w:t>
            </w:r>
          </w:p>
        </w:tc>
        <w:tc>
          <w:tcPr>
            <w:tcW w:type="dxa" w:w="1440"/>
          </w:tcPr>
          <w:p>
            <w:r>
              <w:rPr>
                <w:rFonts w:ascii="Calibri" w:hAnsi="Calibri"/>
                <w:sz w:val="22"/>
              </w:rPr>
              <w:t>$0.99</w:t>
            </w:r>
          </w:p>
        </w:tc>
        <w:tc>
          <w:tcPr>
            <w:tcW w:type="dxa" w:w="1440"/>
          </w:tcPr>
          <w:p>
            <w:r>
              <w:rPr>
                <w:rFonts w:ascii="Calibri" w:hAnsi="Calibri"/>
                <w:sz w:val="22"/>
              </w:rPr>
              <w:t>$0.98</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FRE ($M)</w:t>
            </w:r>
          </w:p>
        </w:tc>
        <w:tc>
          <w:tcPr>
            <w:tcW w:type="dxa" w:w="1440"/>
          </w:tcPr>
          <w:p>
            <w:r>
              <w:rPr>
                <w:rFonts w:ascii="Calibri" w:hAnsi="Calibri"/>
                <w:sz w:val="22"/>
              </w:rPr>
              <w:t>$325M</w:t>
            </w:r>
          </w:p>
        </w:tc>
        <w:tc>
          <w:tcPr>
            <w:tcW w:type="dxa" w:w="1440"/>
          </w:tcPr>
          <w:p>
            <w:r>
              <w:rPr>
                <w:rFonts w:ascii="Calibri" w:hAnsi="Calibri"/>
                <w:sz w:val="22"/>
              </w:rPr>
              <w:t>$320M</w:t>
            </w:r>
          </w:p>
        </w:tc>
        <w:tc>
          <w:tcPr>
            <w:tcW w:type="dxa" w:w="1440"/>
          </w:tcPr>
          <w:p>
            <w:r>
              <w:rPr>
                <w:rFonts w:ascii="Calibri" w:hAnsi="Calibri"/>
                <w:b/>
                <w:color w:val="30A46C"/>
                <w:sz w:val="22"/>
              </w:rPr>
              <w:t>+1.6%</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Realized income per share has been the more volatile KPI, with large misses in Q4 2025 (-13.7%) and Q1 2026 (-6.8%) driven by performance income timing; FRE has been more consistent, beating or meeting in 6 of the last 8 quarters. The Street has reset expectations lower on realized income, creating a more achievable bar for Q2 2026.</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w:t>
      </w:r>
      <w:r>
        <w:rPr>
          <w:rFonts w:ascii="Calibri" w:hAnsi="Calibri"/>
          <w:b/>
          <w:color w:val="525866"/>
          <w:sz w:val="22"/>
        </w:rPr>
        <w:t>shifted more confident since the Q1 print</w:t>
      </w:r>
      <w:r>
        <w:rPr>
          <w:rFonts w:ascii="Calibri" w:hAnsi="Calibri"/>
          <w:color w:val="525866"/>
          <w:sz w:val="22"/>
        </w:rPr>
        <w:t xml:space="preserve"> — the July 9 8-K pre-announced Q2 realized net performance income &gt;$50M (vs. $16M in Q2 2025), and conference appearances in May–June reinforced the record fundraising trajectory and data center fund momentum; no guidance has been formally revised downward.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FRE Margin (FY 2026)</w:t>
            </w:r>
          </w:p>
        </w:tc>
        <w:tc>
          <w:tcPr>
            <w:tcW w:type="dxa" w:w="1728"/>
          </w:tcPr>
          <w:p>
            <w:r>
              <w:rPr>
                <w:rFonts w:ascii="Calibri" w:hAnsi="Calibri"/>
                <w:sz w:val="22"/>
              </w:rPr>
              <w:t>High end of 0–150 bps annual expansion target (~42.7–43.0%)</w:t>
            </w:r>
          </w:p>
        </w:tc>
        <w:tc>
          <w:tcPr>
            <w:tcW w:type="dxa" w:w="1728"/>
          </w:tcPr>
          <w:p>
            <w:r>
              <w:rPr>
                <w:rFonts w:ascii="Calibri" w:hAnsi="Calibri"/>
                <w:sz w:val="22"/>
              </w:rPr>
              <w:t>—</w:t>
            </w:r>
          </w:p>
        </w:tc>
        <w:tc>
          <w:tcPr>
            <w:tcW w:type="dxa" w:w="1728"/>
          </w:tcPr>
          <w:p>
            <w:r>
              <w:rPr>
                <w:rFonts w:ascii="Calibri" w:hAnsi="Calibri"/>
                <w:sz w:val="22"/>
              </w:rPr>
              <w:t>42.7% (FY 2026 consensus)</w:t>
            </w:r>
          </w:p>
        </w:tc>
        <w:tc>
          <w:tcPr>
            <w:tcW w:type="dxa" w:w="1728"/>
          </w:tcPr>
          <w:p>
            <w:r>
              <w:rPr>
                <w:rFonts w:ascii="Calibri" w:hAnsi="Calibri"/>
                <w:sz w:val="22"/>
              </w:rPr>
              <w:t>Unchanged; management reiterated at MS Financials Conference (May 29) and Bernstein Conference</w:t>
            </w:r>
          </w:p>
        </w:tc>
      </w:tr>
      <w:tr>
        <w:tc>
          <w:tcPr>
            <w:tcW w:type="dxa" w:w="1728"/>
          </w:tcPr>
          <w:p>
            <w:r>
              <w:rPr>
                <w:rFonts w:ascii="Calibri" w:hAnsi="Calibri"/>
                <w:sz w:val="22"/>
              </w:rPr>
              <w:t>FRE Growth (LT CAGR)</w:t>
            </w:r>
          </w:p>
        </w:tc>
        <w:tc>
          <w:tcPr>
            <w:tcW w:type="dxa" w:w="1728"/>
          </w:tcPr>
          <w:p>
            <w:r>
              <w:rPr>
                <w:rFonts w:ascii="Calibri" w:hAnsi="Calibri"/>
                <w:sz w:val="22"/>
              </w:rPr>
              <w:t>16–20% compound annual growth</w:t>
            </w:r>
          </w:p>
        </w:tc>
        <w:tc>
          <w:tcPr>
            <w:tcW w:type="dxa" w:w="1728"/>
          </w:tcPr>
          <w:p>
            <w:r>
              <w:rPr>
                <w:rFonts w:ascii="Calibri" w:hAnsi="Calibri"/>
                <w:sz w:val="22"/>
              </w:rPr>
              <w:t>—</w:t>
            </w:r>
          </w:p>
        </w:tc>
        <w:tc>
          <w:tcPr>
            <w:tcW w:type="dxa" w:w="1728"/>
          </w:tcPr>
          <w:p>
            <w:r>
              <w:rPr>
                <w:rFonts w:ascii="Calibri" w:hAnsi="Calibri"/>
                <w:sz w:val="22"/>
              </w:rPr>
              <w:t>~16% implied by FY 2026 consensus</w:t>
            </w:r>
          </w:p>
        </w:tc>
        <w:tc>
          <w:tcPr>
            <w:tcW w:type="dxa" w:w="1728"/>
          </w:tcPr>
          <w:p>
            <w:r>
              <w:rPr>
                <w:rFonts w:ascii="Calibri" w:hAnsi="Calibri"/>
                <w:sz w:val="22"/>
              </w:rPr>
              <w:t>Unchanged; on track per management</w:t>
            </w:r>
          </w:p>
        </w:tc>
      </w:tr>
      <w:tr>
        <w:tc>
          <w:tcPr>
            <w:tcW w:type="dxa" w:w="1728"/>
          </w:tcPr>
          <w:p>
            <w:r>
              <w:rPr>
                <w:rFonts w:ascii="Calibri" w:hAnsi="Calibri"/>
                <w:sz w:val="22"/>
              </w:rPr>
              <w:t>Realized Income Growth (LT CAGR)</w:t>
            </w:r>
          </w:p>
        </w:tc>
        <w:tc>
          <w:tcPr>
            <w:tcW w:type="dxa" w:w="1728"/>
          </w:tcPr>
          <w:p>
            <w:r>
              <w:rPr>
                <w:rFonts w:ascii="Calibri" w:hAnsi="Calibri"/>
                <w:sz w:val="22"/>
              </w:rPr>
              <w:t>20–25% compound annual growth</w:t>
            </w:r>
          </w:p>
        </w:tc>
        <w:tc>
          <w:tcPr>
            <w:tcW w:type="dxa" w:w="1728"/>
          </w:tcPr>
          <w:p>
            <w:r>
              <w:rPr>
                <w:rFonts w:ascii="Calibri" w:hAnsi="Calibri"/>
                <w:sz w:val="22"/>
              </w:rPr>
              <w:t>—</w:t>
            </w:r>
          </w:p>
        </w:tc>
        <w:tc>
          <w:tcPr>
            <w:tcW w:type="dxa" w:w="1728"/>
          </w:tcPr>
          <w:p>
            <w:r>
              <w:rPr>
                <w:rFonts w:ascii="Calibri" w:hAnsi="Calibri"/>
                <w:sz w:val="22"/>
              </w:rPr>
              <w:t>~25% implied by FY 2026 consensus ($5.95/share)</w:t>
            </w:r>
          </w:p>
        </w:tc>
        <w:tc>
          <w:tcPr>
            <w:tcW w:type="dxa" w:w="1728"/>
          </w:tcPr>
          <w:p>
            <w:r>
              <w:rPr>
                <w:rFonts w:ascii="Calibri" w:hAnsi="Calibri"/>
                <w:sz w:val="22"/>
              </w:rPr>
              <w:t>Unchanged</w:t>
            </w:r>
          </w:p>
        </w:tc>
      </w:tr>
      <w:tr>
        <w:tc>
          <w:tcPr>
            <w:tcW w:type="dxa" w:w="1728"/>
          </w:tcPr>
          <w:p>
            <w:r>
              <w:rPr>
                <w:rFonts w:ascii="Calibri" w:hAnsi="Calibri"/>
                <w:sz w:val="22"/>
              </w:rPr>
              <w:t>Realized Net Performance Income (Q2 2026)</w:t>
            </w:r>
          </w:p>
        </w:tc>
        <w:tc>
          <w:tcPr>
            <w:tcW w:type="dxa" w:w="1728"/>
          </w:tcPr>
          <w:p>
            <w:r>
              <w:rPr>
                <w:rFonts w:ascii="Calibri" w:hAnsi="Calibri"/>
                <w:sz w:val="22"/>
              </w:rPr>
              <w:t>No specific Q2 guidance given on May 1 call</w:t>
            </w:r>
          </w:p>
        </w:tc>
        <w:tc>
          <w:tcPr>
            <w:tcW w:type="dxa" w:w="1728"/>
          </w:tcPr>
          <w:p>
            <w:r>
              <w:rPr>
                <w:rFonts w:ascii="Calibri" w:hAnsi="Calibri"/>
                <w:sz w:val="22"/>
              </w:rPr>
              <w:t>&gt;$50M (pre-announced via 8-K, July 9, 2026)</w:t>
            </w:r>
          </w:p>
        </w:tc>
        <w:tc>
          <w:tcPr>
            <w:tcW w:type="dxa" w:w="1728"/>
          </w:tcPr>
          <w:p>
            <w:r>
              <w:rPr>
                <w:rFonts w:ascii="Calibri" w:hAnsi="Calibri"/>
                <w:sz w:val="22"/>
              </w:rPr>
              <w:t>~$50M+ (consensus adjusting)</w:t>
            </w:r>
          </w:p>
        </w:tc>
        <w:tc>
          <w:tcPr>
            <w:tcW w:type="dxa" w:w="1728"/>
          </w:tcPr>
          <w:p>
            <w:r>
              <w:rPr>
                <w:rFonts w:ascii="Calibri" w:hAnsi="Calibri"/>
                <w:sz w:val="22"/>
              </w:rPr>
              <w:t>↑ Raised via 8-K July 9, 2026; vs. $16M in Q2 2025 — significant positive pre-announcement</w:t>
            </w:r>
          </w:p>
        </w:tc>
      </w:tr>
      <w:tr>
        <w:tc>
          <w:tcPr>
            <w:tcW w:type="dxa" w:w="1728"/>
          </w:tcPr>
          <w:p>
            <w:r>
              <w:rPr>
                <w:rFonts w:ascii="Calibri" w:hAnsi="Calibri"/>
                <w:sz w:val="22"/>
              </w:rPr>
              <w:t>Fundraising (FY 2026)</w:t>
            </w:r>
          </w:p>
        </w:tc>
        <w:tc>
          <w:tcPr>
            <w:tcW w:type="dxa" w:w="1728"/>
          </w:tcPr>
          <w:p>
            <w:r>
              <w:rPr>
                <w:rFonts w:ascii="Calibri" w:hAnsi="Calibri"/>
                <w:sz w:val="22"/>
              </w:rPr>
              <w:t>Record year; $125B 2028 target unchanged</w:t>
            </w:r>
          </w:p>
        </w:tc>
        <w:tc>
          <w:tcPr>
            <w:tcW w:type="dxa" w:w="1728"/>
          </w:tcPr>
          <w:p>
            <w:r>
              <w:rPr>
                <w:rFonts w:ascii="Calibri" w:hAnsi="Calibri"/>
                <w:sz w:val="22"/>
              </w:rPr>
              <w:t>—</w:t>
            </w:r>
          </w:p>
        </w:tc>
        <w:tc>
          <w:tcPr>
            <w:tcW w:type="dxa" w:w="1728"/>
          </w:tcPr>
          <w:p>
            <w:r>
              <w:rPr>
                <w:rFonts w:ascii="Calibri" w:hAnsi="Calibri"/>
                <w:sz w:val="22"/>
              </w:rPr>
              <w:t>N/A (not a consensus-tracked KPI)</w:t>
            </w:r>
          </w:p>
        </w:tc>
        <w:tc>
          <w:tcPr>
            <w:tcW w:type="dxa" w:w="1728"/>
          </w:tcPr>
          <w:p>
            <w:r>
              <w:rPr>
                <w:rFonts w:ascii="Calibri" w:hAnsi="Calibri"/>
                <w:sz w:val="22"/>
              </w:rPr>
              <w:t>Pathfinder III closed at hard cap (~$12.5B) June 10; data center fund first close expected summer 2026; Q2 wealth inflows ~$3.6B</w:t>
            </w:r>
          </w:p>
        </w:tc>
      </w:tr>
      <w:tr>
        <w:tc>
          <w:tcPr>
            <w:tcW w:type="dxa" w:w="1728"/>
          </w:tcPr>
          <w:p>
            <w:r>
              <w:rPr>
                <w:rFonts w:ascii="Calibri" w:hAnsi="Calibri"/>
                <w:sz w:val="22"/>
              </w:rPr>
              <w:t>Dividend Growth</w:t>
            </w:r>
          </w:p>
        </w:tc>
        <w:tc>
          <w:tcPr>
            <w:tcW w:type="dxa" w:w="1728"/>
          </w:tcPr>
          <w:p>
            <w:r>
              <w:rPr>
                <w:rFonts w:ascii="Calibri" w:hAnsi="Calibri"/>
                <w:sz w:val="22"/>
              </w:rPr>
              <w:t>~20% annual dividend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on track</w:t>
            </w:r>
          </w:p>
        </w:tc>
      </w:tr>
      <w:tr>
        <w:tc>
          <w:tcPr>
            <w:tcW w:type="dxa" w:w="1728"/>
          </w:tcPr>
          <w:p>
            <w:r>
              <w:rPr>
                <w:rFonts w:ascii="Calibri" w:hAnsi="Calibri"/>
                <w:sz w:val="22"/>
              </w:rPr>
              <w:t>GCP / Data Center Fund</w:t>
            </w:r>
          </w:p>
        </w:tc>
        <w:tc>
          <w:tcPr>
            <w:tcW w:type="dxa" w:w="1728"/>
          </w:tcPr>
          <w:p>
            <w:r>
              <w:rPr>
                <w:rFonts w:ascii="Calibri" w:hAnsi="Calibri"/>
                <w:sz w:val="22"/>
              </w:rPr>
              <w:t>Significant first close expected summer 2026; data center business to turn from negative to positive FRE contributor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management confirmed at conferences; first close expected this quarter</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FRE consensus for Q2 2026 is down only ~0.6% from the post-earnings baseline, and FY 2026 FRE is essentially flat — suggesting the Street has not yet incorporated the positive fundraising data points (Pathfinder III hard cap, Q2 wealth inflows of $3.6B, data center fund first close) that emerged post-May 1; </w:t>
      </w:r>
      <w:r>
        <w:rPr>
          <w:rFonts w:ascii="Calibri" w:hAnsi="Calibri"/>
          <w:b/>
          <w:color w:val="525866"/>
          <w:sz w:val="22"/>
        </w:rPr>
        <w:t>this creates a modest positive revision risk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5/6/26)</w:t>
            </w:r>
          </w:p>
        </w:tc>
        <w:tc>
          <w:tcPr>
            <w:tcW w:type="dxa" w:w="1080"/>
            <w:shd w:val="clear" w:color="auto" w:fill="3B4259"/>
          </w:tcPr>
          <w:p>
            <w:r>
              <w:rPr>
                <w:rFonts w:ascii="Calibri" w:hAnsi="Calibri"/>
                <w:b/>
                <w:color w:val="FFFFFF"/>
                <w:sz w:val="22"/>
              </w:rPr>
              <w:t>Current Consensus (7/30/26)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FRE — Q2 2026 ($M)</w:t>
            </w:r>
          </w:p>
        </w:tc>
        <w:tc>
          <w:tcPr>
            <w:tcW w:type="dxa" w:w="1080"/>
          </w:tcPr>
          <w:p>
            <w:r>
              <w:rPr>
                <w:rFonts w:ascii="Calibri" w:hAnsi="Calibri"/>
                <w:sz w:val="22"/>
              </w:rPr>
              <w:t>$486M</w:t>
            </w:r>
          </w:p>
        </w:tc>
        <w:tc>
          <w:tcPr>
            <w:tcW w:type="dxa" w:w="1080"/>
          </w:tcPr>
          <w:p>
            <w:r>
              <w:rPr>
                <w:rFonts w:ascii="Calibri" w:hAnsi="Calibri"/>
                <w:sz w:val="22"/>
              </w:rPr>
              <w:t>$483M</w:t>
            </w:r>
          </w:p>
        </w:tc>
        <w:tc>
          <w:tcPr>
            <w:tcW w:type="dxa" w:w="1080"/>
          </w:tcPr>
          <w:p>
            <w:r>
              <w:rPr>
                <w:rFonts w:ascii="Calibri" w:hAnsi="Calibri"/>
                <w:b/>
                <w:color w:val="E5484D"/>
                <w:sz w:val="22"/>
              </w:rPr>
              <w:t>-0.6%</w:t>
            </w:r>
          </w:p>
        </w:tc>
        <w:tc>
          <w:tcPr>
            <w:tcW w:type="dxa" w:w="1080"/>
          </w:tcPr>
          <w:p>
            <w:r>
              <w:rPr>
                <w:rFonts w:ascii="Calibri" w:hAnsi="Calibri"/>
                <w:sz w:val="22"/>
              </w:rPr>
              <w:t>16–20% CAGR (LT)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(LT range)</w:t>
            </w:r>
          </w:p>
        </w:tc>
      </w:tr>
      <w:tr>
        <w:tc>
          <w:tcPr>
            <w:tcW w:type="dxa" w:w="1080"/>
          </w:tcPr>
          <w:p>
            <w:r>
              <w:rPr>
                <w:rFonts w:ascii="Calibri" w:hAnsi="Calibri"/>
                <w:sz w:val="22"/>
              </w:rPr>
              <w:t>FRE — FY 2026 ($M)</w:t>
            </w:r>
          </w:p>
        </w:tc>
        <w:tc>
          <w:tcPr>
            <w:tcW w:type="dxa" w:w="1080"/>
          </w:tcPr>
          <w:p>
            <w:r>
              <w:rPr>
                <w:rFonts w:ascii="Calibri" w:hAnsi="Calibri"/>
                <w:sz w:val="22"/>
              </w:rPr>
              <w:t>$2,119M</w:t>
            </w:r>
          </w:p>
        </w:tc>
        <w:tc>
          <w:tcPr>
            <w:tcW w:type="dxa" w:w="1080"/>
          </w:tcPr>
          <w:p>
            <w:r>
              <w:rPr>
                <w:rFonts w:ascii="Calibri" w:hAnsi="Calibri"/>
                <w:sz w:val="22"/>
              </w:rPr>
              <w:t>$2,122M</w:t>
            </w:r>
          </w:p>
        </w:tc>
        <w:tc>
          <w:tcPr>
            <w:tcW w:type="dxa" w:w="1080"/>
          </w:tcPr>
          <w:p>
            <w:r>
              <w:rPr>
                <w:rFonts w:ascii="Calibri" w:hAnsi="Calibri"/>
                <w:b/>
                <w:color w:val="30A46C"/>
                <w:sz w:val="22"/>
              </w:rPr>
              <w:t>+0.2%</w:t>
            </w:r>
          </w:p>
        </w:tc>
        <w:tc>
          <w:tcPr>
            <w:tcW w:type="dxa" w:w="1080"/>
          </w:tcPr>
          <w:p>
            <w:r>
              <w:rPr>
                <w:rFonts w:ascii="Calibri" w:hAnsi="Calibri"/>
                <w:sz w:val="22"/>
              </w:rPr>
              <w:t>16–20% CAGR (LT)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(LT range)</w:t>
            </w:r>
          </w:p>
        </w:tc>
      </w:tr>
      <w:tr>
        <w:tc>
          <w:tcPr>
            <w:tcW w:type="dxa" w:w="1080"/>
          </w:tcPr>
          <w:p>
            <w:r>
              <w:rPr>
                <w:rFonts w:ascii="Calibri" w:hAnsi="Calibri"/>
                <w:sz w:val="22"/>
              </w:rPr>
              <w:t>Realized Income/Share — Q2 2026 ($)</w:t>
            </w:r>
          </w:p>
        </w:tc>
        <w:tc>
          <w:tcPr>
            <w:tcW w:type="dxa" w:w="1080"/>
          </w:tcPr>
          <w:p>
            <w:r>
              <w:rPr>
                <w:rFonts w:ascii="Calibri" w:hAnsi="Calibri"/>
                <w:sz w:val="22"/>
              </w:rPr>
              <w:t>$1.31</w:t>
            </w:r>
          </w:p>
        </w:tc>
        <w:tc>
          <w:tcPr>
            <w:tcW w:type="dxa" w:w="1080"/>
          </w:tcPr>
          <w:p>
            <w:r>
              <w:rPr>
                <w:rFonts w:ascii="Calibri" w:hAnsi="Calibri"/>
                <w:sz w:val="22"/>
              </w:rPr>
              <w:t>$1.28</w:t>
            </w:r>
          </w:p>
        </w:tc>
        <w:tc>
          <w:tcPr>
            <w:tcW w:type="dxa" w:w="1080"/>
          </w:tcPr>
          <w:p>
            <w:r>
              <w:rPr>
                <w:rFonts w:ascii="Calibri" w:hAnsi="Calibri"/>
                <w:b/>
                <w:color w:val="E5484D"/>
                <w:sz w:val="22"/>
              </w:rPr>
              <w:t>-2.3%</w:t>
            </w:r>
          </w:p>
        </w:tc>
        <w:tc>
          <w:tcPr>
            <w:tcW w:type="dxa" w:w="1080"/>
          </w:tcPr>
          <w:p>
            <w:r>
              <w:rPr>
                <w:rFonts w:ascii="Calibri" w:hAnsi="Calibri"/>
                <w:sz w:val="22"/>
              </w:rPr>
              <w:t>20–25% CAGR (LT)</w:t>
            </w:r>
          </w:p>
        </w:tc>
        <w:tc>
          <w:tcPr>
            <w:tcW w:type="dxa" w:w="1080"/>
          </w:tcPr>
          <w:p>
            <w:r>
              <w:rPr>
                <w:rFonts w:ascii="Calibri" w:hAnsi="Calibri"/>
                <w:sz w:val="22"/>
              </w:rPr>
              <w:t>&gt;$50M realized net perf. income (8-K, 7/9/26)</w:t>
            </w:r>
          </w:p>
        </w:tc>
        <w:tc>
          <w:tcPr>
            <w:tcW w:type="dxa" w:w="1080"/>
          </w:tcPr>
          <w:p>
            <w:r>
              <w:rPr>
                <w:rFonts w:ascii="Calibri" w:hAnsi="Calibri"/>
                <w:sz w:val="22"/>
              </w:rPr>
              <w:t>↑ Positive pre-announcement</w:t>
            </w:r>
          </w:p>
        </w:tc>
        <w:tc>
          <w:tcPr>
            <w:tcW w:type="dxa" w:w="1080"/>
          </w:tcPr>
          <w:p>
            <w:r>
              <w:rPr>
                <w:rFonts w:ascii="Calibri" w:hAnsi="Calibri"/>
                <w:sz w:val="22"/>
              </w:rPr>
              <w:t>Slight upside risk</w:t>
            </w:r>
          </w:p>
        </w:tc>
      </w:tr>
      <w:tr>
        <w:tc>
          <w:tcPr>
            <w:tcW w:type="dxa" w:w="1080"/>
          </w:tcPr>
          <w:p>
            <w:r>
              <w:rPr>
                <w:rFonts w:ascii="Calibri" w:hAnsi="Calibri"/>
                <w:sz w:val="22"/>
              </w:rPr>
              <w:t>Realized Income/Share — FY 2026 ($)</w:t>
            </w:r>
          </w:p>
        </w:tc>
        <w:tc>
          <w:tcPr>
            <w:tcW w:type="dxa" w:w="1080"/>
          </w:tcPr>
          <w:p>
            <w:r>
              <w:rPr>
                <w:rFonts w:ascii="Calibri" w:hAnsi="Calibri"/>
                <w:sz w:val="22"/>
              </w:rPr>
              <w:t>$6.00</w:t>
            </w:r>
          </w:p>
        </w:tc>
        <w:tc>
          <w:tcPr>
            <w:tcW w:type="dxa" w:w="1080"/>
          </w:tcPr>
          <w:p>
            <w:r>
              <w:rPr>
                <w:rFonts w:ascii="Calibri" w:hAnsi="Calibri"/>
                <w:sz w:val="22"/>
              </w:rPr>
              <w:t>$5.95</w:t>
            </w:r>
          </w:p>
        </w:tc>
        <w:tc>
          <w:tcPr>
            <w:tcW w:type="dxa" w:w="1080"/>
          </w:tcPr>
          <w:p>
            <w:r>
              <w:rPr>
                <w:rFonts w:ascii="Calibri" w:hAnsi="Calibri"/>
                <w:b/>
                <w:color w:val="E5484D"/>
                <w:sz w:val="22"/>
              </w:rPr>
              <w:t>-0.8%</w:t>
            </w:r>
          </w:p>
        </w:tc>
        <w:tc>
          <w:tcPr>
            <w:tcW w:type="dxa" w:w="1080"/>
          </w:tcPr>
          <w:p>
            <w:r>
              <w:rPr>
                <w:rFonts w:ascii="Calibri" w:hAnsi="Calibri"/>
                <w:sz w:val="22"/>
              </w:rPr>
              <w:t>20–25% CAGR (LT)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(LT range)</w:t>
            </w:r>
          </w:p>
        </w:tc>
      </w:tr>
      <w:tr>
        <w:tc>
          <w:tcPr>
            <w:tcW w:type="dxa" w:w="1080"/>
          </w:tcPr>
          <w:p>
            <w:r>
              <w:rPr>
                <w:rFonts w:ascii="Calibri" w:hAnsi="Calibri"/>
                <w:sz w:val="22"/>
              </w:rPr>
              <w:t>FPAUM — Q2 2026 ($B)</w:t>
            </w:r>
          </w:p>
        </w:tc>
        <w:tc>
          <w:tcPr>
            <w:tcW w:type="dxa" w:w="1080"/>
          </w:tcPr>
          <w:p>
            <w:r>
              <w:rPr>
                <w:rFonts w:ascii="Calibri" w:hAnsi="Calibri"/>
                <w:sz w:val="22"/>
              </w:rPr>
              <w:t>$414B</w:t>
            </w:r>
          </w:p>
        </w:tc>
        <w:tc>
          <w:tcPr>
            <w:tcW w:type="dxa" w:w="1080"/>
          </w:tcPr>
          <w:p>
            <w:r>
              <w:rPr>
                <w:rFonts w:ascii="Calibri" w:hAnsi="Calibri"/>
                <w:sz w:val="22"/>
              </w:rPr>
              <w:t>$414B</w:t>
            </w:r>
          </w:p>
        </w:tc>
        <w:tc>
          <w:tcPr>
            <w:tcW w:type="dxa" w:w="1080"/>
          </w:tcPr>
          <w:p>
            <w:r>
              <w:rPr>
                <w:rFonts w:ascii="Calibri" w:hAnsi="Calibri"/>
                <w:sz w:val="22"/>
              </w:rPr>
              <w:t>0.0%</w:t>
            </w:r>
          </w:p>
        </w:tc>
        <w:tc>
          <w:tcPr>
            <w:tcW w:type="dxa" w:w="1080"/>
          </w:tcPr>
          <w:p>
            <w:r>
              <w:rPr>
                <w:rFonts w:ascii="Calibri" w:hAnsi="Calibri"/>
                <w:sz w:val="22"/>
              </w:rPr>
              <w:t>No specific quarterly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Management Fees — Q2 2026 ($M)</w:t>
            </w:r>
          </w:p>
        </w:tc>
        <w:tc>
          <w:tcPr>
            <w:tcW w:type="dxa" w:w="1080"/>
          </w:tcPr>
          <w:p>
            <w:r>
              <w:rPr>
                <w:rFonts w:ascii="Calibri" w:hAnsi="Calibri"/>
                <w:sz w:val="22"/>
              </w:rPr>
              <w:t>$1,043M</w:t>
            </w:r>
          </w:p>
        </w:tc>
        <w:tc>
          <w:tcPr>
            <w:tcW w:type="dxa" w:w="1080"/>
          </w:tcPr>
          <w:p>
            <w:r>
              <w:rPr>
                <w:rFonts w:ascii="Calibri" w:hAnsi="Calibri"/>
                <w:sz w:val="22"/>
              </w:rPr>
              <w:t>$1,048M</w:t>
            </w:r>
          </w:p>
        </w:tc>
        <w:tc>
          <w:tcPr>
            <w:tcW w:type="dxa" w:w="1080"/>
          </w:tcPr>
          <w:p>
            <w:r>
              <w:rPr>
                <w:rFonts w:ascii="Calibri" w:hAnsi="Calibri"/>
                <w:b/>
                <w:color w:val="30A46C"/>
                <w:sz w:val="22"/>
              </w:rPr>
              <w:t>+0.5%</w:t>
            </w:r>
          </w:p>
        </w:tc>
        <w:tc>
          <w:tcPr>
            <w:tcW w:type="dxa" w:w="1080"/>
          </w:tcPr>
          <w:p>
            <w:r>
              <w:rPr>
                <w:rFonts w:ascii="Calibri" w:hAnsi="Calibri"/>
                <w:sz w:val="22"/>
              </w:rPr>
              <w:t>No specific quarterly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near-zero estimate drift since the Q1 print is notable given the volume of positive data points disclosed at conferences (Pathfinder III hard cap close, Q2 wealth inflows of ~$3.6B, infrastructure wealth fund raising ~$1.9B in Q2 alone, data center fund first close on track). The July 9 8-K pre-announcement of &gt;$50M in realized net performance income — vs. $16M in Q2 2025 — is the most significant positive revision catalyst and was not fully embedded in consensus at the time of filing.</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ARES has been the clear outperformer among alt managers since Q1 earnings (+4.3% vs. BX +1.4%, KKR -2.6%, APO -7.8%), driven by </w:t>
      </w:r>
      <w:r>
        <w:rPr>
          <w:rFonts w:ascii="Calibri" w:hAnsi="Calibri"/>
          <w:b/>
          <w:color w:val="525866"/>
          <w:sz w:val="22"/>
        </w:rPr>
        <w:t>multiple expansion on record fundraising momentum</w:t>
      </w:r>
      <w:r>
        <w:rPr>
          <w:rFonts w:ascii="Calibri" w:hAnsi="Calibri"/>
          <w:color w:val="525866"/>
          <w:sz w:val="22"/>
        </w:rPr>
        <w:t xml:space="preserve"> rather than earnings revisions (which were flat); the stock peaked at ~$135 in mid-June before pulling back ~8% on sector-wide weakness, creating a more attractive entry point ahead of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ARES vs. Peers — Indexed Price Since Q1 2026 Earnings (May 1, 2026). Source: Stock Price Data.</w:t>
      </w:r>
    </w:p>
    <w:p>
      <w:pPr>
        <w:pStyle w:val="ListBullet"/>
        <w:ind w:left="360" w:hanging="360"/>
      </w:pPr>
      <w:r>
        <w:rPr>
          <w:rFonts w:ascii="Calibri" w:hAnsi="Calibri"/>
          <w:b/>
          <w:color w:val="525866"/>
          <w:sz w:val="22"/>
        </w:rPr>
        <w:t xml:space="preserve">May 1 – May 14 (+9.4%): </w:t>
      </w:r>
      <w:r>
        <w:rPr>
          <w:rFonts w:ascii="Calibri" w:hAnsi="Calibri"/>
          <w:color w:val="525866"/>
          <w:sz w:val="22"/>
        </w:rPr>
        <w:t>Strong initial reaction to record Q1 fundraising ($30B, +46% YoY) and management fees crossing $1B for the first time; stock outperformed peers sharply.</w:t>
      </w:r>
    </w:p>
    <w:p>
      <w:pPr>
        <w:pStyle w:val="ListBullet"/>
        <w:ind w:left="360" w:hanging="360"/>
      </w:pPr>
      <w:r>
        <w:rPr>
          <w:rFonts w:ascii="Calibri" w:hAnsi="Calibri"/>
          <w:b/>
          <w:color w:val="525866"/>
          <w:sz w:val="22"/>
        </w:rPr>
        <w:t xml:space="preserve">May 14 – May 22 (-4.0%): </w:t>
      </w:r>
      <w:r>
        <w:rPr>
          <w:rFonts w:ascii="Calibri" w:hAnsi="Calibri"/>
          <w:color w:val="525866"/>
          <w:sz w:val="22"/>
        </w:rPr>
        <w:t>Sector-wide pullback as private credit redemption concerns intensified; ARES held up better than BX and KKR.</w:t>
      </w:r>
    </w:p>
    <w:p>
      <w:pPr>
        <w:pStyle w:val="ListBullet"/>
        <w:ind w:left="360" w:hanging="360"/>
      </w:pPr>
      <w:r>
        <w:rPr>
          <w:rFonts w:ascii="Calibri" w:hAnsi="Calibri"/>
          <w:b/>
          <w:color w:val="525866"/>
          <w:sz w:val="22"/>
        </w:rPr>
        <w:t xml:space="preserve">May 29 – June 16 (peak, +13.4% from earnings): </w:t>
      </w:r>
      <w:r>
        <w:rPr>
          <w:rFonts w:ascii="Calibri" w:hAnsi="Calibri"/>
          <w:color w:val="525866"/>
          <w:sz w:val="22"/>
        </w:rPr>
        <w:t>Morgan Stanley Financials Conference (May 29) and Bernstein Conference appearances reinforced confident management tone; Pathfinder III hard cap close (June 10) added a positive catalyst; stock reached ~$135.</w:t>
      </w:r>
    </w:p>
    <w:p>
      <w:pPr>
        <w:pStyle w:val="ListBullet"/>
        <w:ind w:left="360" w:hanging="360"/>
      </w:pPr>
      <w:r>
        <w:rPr>
          <w:rFonts w:ascii="Calibri" w:hAnsi="Calibri"/>
          <w:b/>
          <w:color w:val="525866"/>
          <w:sz w:val="22"/>
        </w:rPr>
        <w:t xml:space="preserve">June 17 – June 30 (-16.3% from peak): </w:t>
      </w:r>
      <w:r>
        <w:rPr>
          <w:rFonts w:ascii="Calibri" w:hAnsi="Calibri"/>
          <w:color w:val="525866"/>
          <w:sz w:val="22"/>
        </w:rPr>
        <w:t>Sharp sector-wide selloff driven by geopolitical uncertainty (Iran conflict) and broader risk-off; ARES fell to ~$111, underperforming BX which was more resilient.</w:t>
      </w:r>
    </w:p>
    <w:p>
      <w:pPr>
        <w:pStyle w:val="ListBullet"/>
        <w:ind w:left="360" w:hanging="360"/>
      </w:pPr>
      <w:r>
        <w:rPr>
          <w:rFonts w:ascii="Calibri" w:hAnsi="Calibri"/>
          <w:b/>
          <w:color w:val="525866"/>
          <w:sz w:val="22"/>
        </w:rPr>
        <w:t xml:space="preserve">July 1 – July 9 (+10.2%): </w:t>
      </w:r>
      <w:r>
        <w:rPr>
          <w:rFonts w:ascii="Calibri" w:hAnsi="Calibri"/>
          <w:color w:val="525866"/>
          <w:sz w:val="22"/>
        </w:rPr>
        <w:t>Recovery rally; July 9 8-K pre-announcing Q2 realized net performance income &gt;$50M (vs. $16M in Q2 2025) provided a specific positive catalyst.</w:t>
      </w:r>
    </w:p>
    <w:p>
      <w:pPr>
        <w:pStyle w:val="ListBullet"/>
        <w:ind w:left="360" w:hanging="360"/>
      </w:pPr>
      <w:r>
        <w:rPr>
          <w:rFonts w:ascii="Calibri" w:hAnsi="Calibri"/>
          <w:b/>
          <w:color w:val="525866"/>
          <w:sz w:val="22"/>
        </w:rPr>
        <w:t xml:space="preserve">July 10 – July 30 (-2.0%): </w:t>
      </w:r>
      <w:r>
        <w:rPr>
          <w:rFonts w:ascii="Calibri" w:hAnsi="Calibri"/>
          <w:color w:val="525866"/>
          <w:sz w:val="22"/>
        </w:rPr>
        <w:t>Consolidation ahead of earnings; BX Q2 results (July 23) were strong (+26% DE YoY) and provided a positive read-through for the sector.</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July 9 8-K pre-announcing Q2 realized net performance income &gt;$50M</w:t>
      </w:r>
      <w:r>
        <w:rPr>
          <w:rFonts w:ascii="Calibri" w:hAnsi="Calibri"/>
          <w:color w:val="525866"/>
          <w:sz w:val="22"/>
        </w:rPr>
        <w:t xml:space="preserve"> — a 3x+ year-over-year improvement that was not in consensus and directly reduces the risk of another performance income miss; secondary to that, the Pathfinder III hard cap close and Q2 wealth inflow data confirm the fundraising narrative is intact.</w:t>
      </w:r>
    </w:p>
    <w:p>
      <w:pPr>
        <w:pStyle w:val="ListBullet"/>
        <w:ind w:left="360" w:hanging="360"/>
      </w:pPr>
      <w:r>
        <w:rPr>
          <w:rFonts w:ascii="Calibri" w:hAnsi="Calibri"/>
          <w:color w:val="525866"/>
          <w:sz w:val="22"/>
        </w:rPr>
        <w:t>July 9, 2026 — Q2 Performance Income 8-K (</w:t>
      </w:r>
      <w:r>
        <w:rPr>
          <w:rFonts w:ascii="Calibri" w:hAnsi="Calibri"/>
          <w:b/>
          <w:color w:val="525866"/>
          <w:sz w:val="22"/>
        </w:rPr>
        <w:t>Most Important</w:t>
      </w:r>
      <w:r>
        <w:rPr>
          <w:rFonts w:ascii="Calibri" w:hAnsi="Calibri"/>
          <w:color w:val="525866"/>
          <w:sz w:val="22"/>
        </w:rPr>
        <w:t xml:space="preserve">): </w:t>
      </w:r>
      <w:r>
        <w:rPr>
          <w:rFonts w:ascii="Calibri" w:hAnsi="Calibri"/>
          <w:color w:val="525866"/>
          <w:sz w:val="22"/>
        </w:rPr>
        <w:t xml:space="preserve">Ares filed an 8-K pre-announcing realized net performance income &gt;$50M for Q2 2026, vs. $16M in Q2 2025 (+213% YoY). This is a direct positive pre-announcement that reduces the risk of a repeat performance income miss. Implication: </w:t>
      </w:r>
      <w:r>
        <w:rPr>
          <w:rFonts w:ascii="Calibri" w:hAnsi="Calibri"/>
          <w:b/>
          <w:color w:val="525866"/>
          <w:sz w:val="22"/>
        </w:rPr>
        <w:t>removes the biggest bear case heading into the print.</w:t>
      </w:r>
    </w:p>
    <w:p>
      <w:pPr>
        <w:pStyle w:val="ListBullet"/>
        <w:ind w:left="360" w:hanging="360"/>
      </w:pPr>
      <w:r>
        <w:rPr>
          <w:rFonts w:ascii="Calibri" w:hAnsi="Calibri"/>
          <w:b/>
          <w:color w:val="525866"/>
          <w:sz w:val="22"/>
        </w:rPr>
        <w:t xml:space="preserve">June 10, 2026 — Pathfinder III Final Close at Hard Cap: </w:t>
      </w:r>
      <w:r>
        <w:rPr>
          <w:rFonts w:ascii="Calibri" w:hAnsi="Calibri"/>
          <w:color w:val="525866"/>
          <w:sz w:val="22"/>
        </w:rPr>
        <w:t xml:space="preserve">Ares Pathfinder Fund III (alternative credit / ABF) closed at its hard cap in less than six months, raising ~$12.5B total capital (including ~$4B from prior fund investors extending duration). Described as the largest global ABF fund in the market. Implication: </w:t>
      </w:r>
      <w:r>
        <w:rPr>
          <w:rFonts w:ascii="Calibri" w:hAnsi="Calibri"/>
          <w:b/>
          <w:color w:val="525866"/>
          <w:sz w:val="22"/>
        </w:rPr>
        <w:t>direct FPAUM tailwind and validates the ABF platform's market leadership.</w:t>
      </w:r>
    </w:p>
    <w:p>
      <w:pPr>
        <w:pStyle w:val="ListBullet"/>
        <w:ind w:left="360" w:hanging="360"/>
      </w:pPr>
      <w:r>
        <w:rPr>
          <w:rFonts w:ascii="Calibri" w:hAnsi="Calibri"/>
          <w:b/>
          <w:color w:val="525866"/>
          <w:sz w:val="22"/>
        </w:rPr>
        <w:t xml:space="preserve">June 2026 — Q2 Wealth Channel Inflows (~$3.6B Gross): </w:t>
      </w:r>
      <w:r>
        <w:rPr>
          <w:rFonts w:ascii="Calibri" w:hAnsi="Calibri"/>
          <w:color w:val="525866"/>
          <w:sz w:val="22"/>
        </w:rPr>
        <w:t xml:space="preserve">Management disclosed Q2 2026 gross wealth inflows of ~$3.6B, roughly in line with Q1 2026 despite ongoing private credit redemption concerns. Infrastructure wealth fund raised ~$1.9B in Q2 alone (~$850M in June). Implication: </w:t>
      </w:r>
      <w:r>
        <w:rPr>
          <w:rFonts w:ascii="Calibri" w:hAnsi="Calibri"/>
          <w:b/>
          <w:color w:val="525866"/>
          <w:sz w:val="22"/>
        </w:rPr>
        <w:t>wealth platform is more resilient than feared; non-BDC products absorbing the slack.</w:t>
      </w:r>
    </w:p>
    <w:p>
      <w:pPr>
        <w:pStyle w:val="ListBullet"/>
        <w:ind w:left="360" w:hanging="360"/>
      </w:pPr>
      <w:r>
        <w:rPr>
          <w:rFonts w:ascii="Calibri" w:hAnsi="Calibri"/>
          <w:b/>
          <w:color w:val="525866"/>
          <w:sz w:val="22"/>
        </w:rPr>
        <w:t xml:space="preserve">June 10, 2026 — Annual Meeting (8-K): </w:t>
      </w:r>
      <w:r>
        <w:rPr>
          <w:rFonts w:ascii="Calibri" w:hAnsi="Calibri"/>
          <w:color w:val="525866"/>
          <w:sz w:val="22"/>
        </w:rPr>
        <w:t>Stockholders elected directors and ratified auditor at the annual meeting. Routine governance event; no material changes.</w:t>
      </w:r>
    </w:p>
    <w:p>
      <w:pPr>
        <w:pStyle w:val="ListBullet"/>
        <w:ind w:left="360" w:hanging="360"/>
      </w:pPr>
      <w:r>
        <w:rPr>
          <w:rFonts w:ascii="Calibri" w:hAnsi="Calibri"/>
          <w:b/>
          <w:color w:val="525866"/>
          <w:sz w:val="22"/>
        </w:rPr>
        <w:t xml:space="preserve">May 29 / June 9, 2026 — Morgan Stanley US Financials Conference: </w:t>
      </w:r>
      <w:r>
        <w:rPr>
          <w:rFonts w:ascii="Calibri" w:hAnsi="Calibri"/>
          <w:color w:val="525866"/>
          <w:sz w:val="22"/>
        </w:rPr>
        <w:t xml:space="preserve">Management presented at the Morgan Stanley US Financials Conference (May 29) and Goldman Sachs European Financials Conference (May 28). Tone was confident on fundraising, deployment pipeline, and data center fund progress. Implication: </w:t>
      </w:r>
      <w:r>
        <w:rPr>
          <w:rFonts w:ascii="Calibri" w:hAnsi="Calibri"/>
          <w:b/>
          <w:color w:val="525866"/>
          <w:sz w:val="22"/>
        </w:rPr>
        <w:t>reinforced the record-year fundraising narrative and data center fund first close timeline.</w:t>
      </w:r>
    </w:p>
    <w:p>
      <w:pPr>
        <w:pStyle w:val="ListBullet"/>
        <w:ind w:left="360" w:hanging="360"/>
      </w:pPr>
      <w:r>
        <w:rPr>
          <w:rFonts w:ascii="Calibri" w:hAnsi="Calibri"/>
          <w:b/>
          <w:color w:val="525866"/>
          <w:sz w:val="22"/>
        </w:rPr>
        <w:t xml:space="preserve">May 28–29, 2026 — Bernstein Strategic Decisions Conference: </w:t>
      </w:r>
      <w:r>
        <w:rPr>
          <w:rFonts w:ascii="Calibri" w:hAnsi="Calibri"/>
          <w:color w:val="525866"/>
          <w:sz w:val="22"/>
        </w:rPr>
        <w:t>Ares presented at the Bernstein 42nd Annual Strategic Decisions Conference. Management reiterated FRE margin guidance at the high end of the 0–150 bps expansion range and confirmed the data center equity fund first close expected in summer 2026.</w:t>
      </w:r>
    </w:p>
    <w:p>
      <w:pPr>
        <w:pStyle w:val="ListBullet"/>
        <w:ind w:left="360" w:hanging="360"/>
      </w:pPr>
      <w:r>
        <w:rPr>
          <w:rFonts w:ascii="Calibri" w:hAnsi="Calibri"/>
          <w:b/>
          <w:color w:val="525866"/>
          <w:sz w:val="22"/>
        </w:rPr>
        <w:t xml:space="preserve">Late May 2026 — ARCC / ASIF Credit Facility Renewal: </w:t>
      </w:r>
      <w:r>
        <w:rPr>
          <w:rFonts w:ascii="Calibri" w:hAnsi="Calibri"/>
          <w:color w:val="525866"/>
          <w:sz w:val="22"/>
        </w:rPr>
        <w:t xml:space="preserve">BDC credit facilities (traded ARCC and non-traded ASIF) renewed and upsized with extended maturities to 2031 and reduced borrowing costs. Management characterized as ordinary-course refinancing signaling banking community confidence in private credit portfolios. Implication: </w:t>
      </w:r>
      <w:r>
        <w:rPr>
          <w:rFonts w:ascii="Calibri" w:hAnsi="Calibri"/>
          <w:b/>
          <w:color w:val="525866"/>
          <w:sz w:val="22"/>
        </w:rPr>
        <w:t>reduces refinancing risk and lowers cost of capital for the BDC platform.</w:t>
      </w:r>
    </w:p>
    <w:p>
      <w:pPr>
        <w:pStyle w:val="ListBullet"/>
        <w:ind w:left="360" w:hanging="360"/>
      </w:pPr>
      <w:r>
        <w:rPr>
          <w:rFonts w:ascii="Calibri" w:hAnsi="Calibri"/>
          <w:b/>
          <w:color w:val="525866"/>
          <w:sz w:val="22"/>
        </w:rPr>
        <w:t xml:space="preserve">July 10, 2026 — Earnings Call Time Update: </w:t>
      </w:r>
      <w:r>
        <w:rPr>
          <w:rFonts w:ascii="Calibri" w:hAnsi="Calibri"/>
          <w:color w:val="525866"/>
          <w:sz w:val="22"/>
        </w:rPr>
        <w:t>Ares updated the time of its Q2 2026 earnings conference call. Routine administrative update; earnings scheduled for July 31, 2026 (BMO).</w:t>
      </w:r>
    </w:p>
    <w:p>
      <w:pPr>
        <w:pStyle w:val="ListBullet"/>
        <w:ind w:left="360" w:hanging="360"/>
      </w:pPr>
      <w:r>
        <w:rPr>
          <w:rFonts w:ascii="Calibri" w:hAnsi="Calibri"/>
          <w:b/>
          <w:color w:val="525866"/>
          <w:sz w:val="22"/>
        </w:rPr>
        <w:t xml:space="preserve">Macro Read-Through — Private Credit Redemption Concerns Easing: </w:t>
      </w:r>
      <w:r>
        <w:rPr>
          <w:rFonts w:ascii="Calibri" w:hAnsi="Calibri"/>
          <w:color w:val="525866"/>
          <w:sz w:val="22"/>
        </w:rPr>
        <w:t xml:space="preserve">BX reported at Q2 earnings (July 23) that BCD redemption requests are 'down materially' in early Q3, and BREIT repurchases fell 42% YoY. This is a positive read-through for ARES's non-traded BDC (ASIF) redemption narrative. Implication: </w:t>
      </w:r>
      <w:r>
        <w:rPr>
          <w:rFonts w:ascii="Calibri" w:hAnsi="Calibri"/>
          <w:b/>
          <w:color w:val="525866"/>
          <w:sz w:val="22"/>
        </w:rPr>
        <w:t>sector-wide redemption pressure appears to be peaking.</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the last 60 days is broadly </w:t>
      </w:r>
      <w:r>
        <w:rPr>
          <w:rFonts w:ascii="Calibri" w:hAnsi="Calibri"/>
          <w:b/>
          <w:color w:val="525866"/>
          <w:sz w:val="22"/>
        </w:rPr>
        <w:t>constructive for ARES</w:t>
      </w:r>
      <w:r>
        <w:rPr>
          <w:rFonts w:ascii="Calibri" w:hAnsi="Calibri"/>
          <w:color w:val="525866"/>
          <w:sz w:val="22"/>
        </w:rPr>
        <w:t xml:space="preserve"> — BX and KKR both reported record Q2 results with strong fundraising and improving performance income, private credit redemption concerns are easing, and the infrastructure/ABF deployment themes that ARES is leaning into are seeing the strongest institutional demand across the sector. The main watch item is whether ARES's FRE margin can keep pace with KKR's industry-leading 70%+ margin.</w:t>
      </w:r>
    </w:p>
    <w:p>
      <w:r>
        <w:rPr>
          <w:rFonts w:ascii="Calibri" w:hAnsi="Calibri"/>
          <w:b/>
          <w:color w:val="525866"/>
          <w:sz w:val="22"/>
        </w:rPr>
        <w:t xml:space="preserve">Note: </w:t>
      </w:r>
      <w:r>
        <w:rPr>
          <w:rFonts w:ascii="Calibri" w:hAnsi="Calibri"/>
          <w:i/>
          <w:color w:val="525866"/>
          <w:sz w:val="22"/>
        </w:rPr>
        <w:t>Only commentary from the current reporting period (Q2 2026) or post-Q1 2026 earnings is included. Q1 2025 earnings calls and prior-period commentary are excluded.</w:t>
      </w:r>
    </w:p>
    <w:p>
      <w:pPr>
        <w:pStyle w:val="Heading2"/>
      </w:pPr>
      <w:r>
        <w:rPr>
          <w:rFonts w:ascii="Calibri" w:hAnsi="Calibri"/>
          <w:b/>
          <w:color w:val="3B4259"/>
          <w:sz w:val="28"/>
        </w:rPr>
        <w:t>Blackstone (BX) — Q2 2026 Earnings (July 23, 2026)</w:t>
      </w:r>
    </w:p>
    <w:p>
      <w:r>
        <w:rPr>
          <w:rFonts w:ascii="Calibri" w:hAnsi="Calibri"/>
          <w:b/>
          <w:color w:val="525866"/>
          <w:sz w:val="22"/>
        </w:rPr>
        <w:t xml:space="preserve">Read-Through Signal: </w:t>
      </w:r>
      <w:r>
        <w:rPr>
          <w:rFonts w:ascii="Calibri" w:hAnsi="Calibri"/>
          <w:b/>
          <w:color w:val="30A46C"/>
          <w:sz w:val="22"/>
        </w:rPr>
        <w:t>Strongly Positive</w:t>
      </w:r>
    </w:p>
    <w:p>
      <w:pPr>
        <w:pStyle w:val="ListBullet"/>
        <w:ind w:left="360" w:hanging="360"/>
      </w:pPr>
      <w:r>
        <w:rPr>
          <w:rFonts w:ascii="Calibri" w:hAnsi="Calibri"/>
          <w:b/>
          <w:color w:val="525866"/>
          <w:sz w:val="22"/>
        </w:rPr>
        <w:t xml:space="preserve">Record Q2 results: </w:t>
      </w:r>
      <w:r>
        <w:rPr>
          <w:rFonts w:ascii="Calibri" w:hAnsi="Calibri"/>
          <w:color w:val="525866"/>
          <w:sz w:val="22"/>
        </w:rPr>
        <w:t>BX reported distributable earnings up 26% YoY to $2B ($1.52/share), FRE up 22% YoY, and total inflows of nearly $70B in Q2 and &gt;$260B over the last 12 months. AUM reached a record $1.35T (+11% YoY). This is a strong positive read-through for ARES's fundraising and AUM growth narrative.</w:t>
      </w:r>
    </w:p>
    <w:p>
      <w:pPr>
        <w:pStyle w:val="ListBullet"/>
        <w:ind w:left="360" w:hanging="360"/>
      </w:pPr>
      <w:r>
        <w:rPr>
          <w:rFonts w:ascii="Calibri" w:hAnsi="Calibri"/>
          <w:b/>
          <w:color w:val="525866"/>
          <w:sz w:val="22"/>
        </w:rPr>
        <w:t xml:space="preserve">Private credit redemptions easing: </w:t>
      </w:r>
      <w:r>
        <w:rPr>
          <w:rFonts w:ascii="Calibri" w:hAnsi="Calibri"/>
          <w:color w:val="525866"/>
          <w:sz w:val="22"/>
        </w:rPr>
        <w:t>BX explicitly stated that BCD redemption requests are 'down materially' in early Q3, and BREIT repurchases fell 42% YoY to the 'best regular way net flows in nearly four years.' This directly supports ARES management's narrative that non-traded BDC redemption pressure is peaking and concentrated in a small subset of investors.</w:t>
      </w:r>
    </w:p>
    <w:p>
      <w:pPr>
        <w:pStyle w:val="ListBullet"/>
        <w:ind w:left="360" w:hanging="360"/>
      </w:pPr>
      <w:r>
        <w:rPr>
          <w:rFonts w:ascii="Calibri" w:hAnsi="Calibri"/>
          <w:b/>
          <w:color w:val="525866"/>
          <w:sz w:val="22"/>
        </w:rPr>
        <w:t xml:space="preserve">Wealth channel recovery: </w:t>
      </w:r>
      <w:r>
        <w:rPr>
          <w:rFonts w:ascii="Calibri" w:hAnsi="Calibri"/>
          <w:color w:val="525866"/>
          <w:sz w:val="22"/>
        </w:rPr>
        <w:t>After a slowdown in April–May due to the Iran conflict, BX's wealth channel saw a 'strong recovery in June,' with flows up 50% back to Q1 levels by June 1. BXP raised $2.4B in Q2 (best month of sales since launch in June at $1.2B). This is a positive read-through for ARES's Q2 wealth inflow data (~$3.6B gross).</w:t>
      </w:r>
    </w:p>
    <w:p>
      <w:pPr>
        <w:pStyle w:val="ListBullet"/>
        <w:ind w:left="360" w:hanging="360"/>
      </w:pPr>
      <w:r>
        <w:rPr>
          <w:rFonts w:ascii="Calibri" w:hAnsi="Calibri"/>
          <w:b/>
          <w:color w:val="525866"/>
          <w:sz w:val="22"/>
        </w:rPr>
        <w:t xml:space="preserve">Investment-grade private credit demand: </w:t>
      </w:r>
      <w:r>
        <w:rPr>
          <w:rFonts w:ascii="Calibri" w:hAnsi="Calibri"/>
          <w:color w:val="525866"/>
          <w:sz w:val="22"/>
        </w:rPr>
        <w:t>BX highlighted 'significant potential' in investment-grade private credit, with a 170+ bps premium over liquid corporate bonds. The $35B Broadcom financing platform (co-led with Apollo) was described as the 'largest private credit investment in history.' This validates ARES's ABF and asset-based finance positioning.</w:t>
      </w:r>
    </w:p>
    <w:p>
      <w:pPr>
        <w:pStyle w:val="ListBullet"/>
        <w:ind w:left="360" w:hanging="360"/>
      </w:pPr>
      <w:r>
        <w:rPr>
          <w:rFonts w:ascii="Calibri" w:hAnsi="Calibri"/>
          <w:b/>
          <w:color w:val="525866"/>
          <w:sz w:val="22"/>
        </w:rPr>
        <w:t xml:space="preserve">Performance income inflecting: </w:t>
      </w:r>
      <w:r>
        <w:rPr>
          <w:rFonts w:ascii="Calibri" w:hAnsi="Calibri"/>
          <w:color w:val="525866"/>
          <w:sz w:val="22"/>
        </w:rPr>
        <w:t>Net realizations up 27% YoY; net accrued performance revenue at $7.5B (highest in four years, +13% YoY). BX expects a 'robust Q4 and 2027.' This is a positive read-through for ARES's realized performance income trajectory, consistent with the July 9 8-K pre-announcement.</w:t>
      </w:r>
    </w:p>
    <w:p>
      <w:pPr>
        <w:pStyle w:val="ListBullet"/>
        <w:ind w:left="360" w:hanging="360"/>
      </w:pPr>
      <w:r>
        <w:rPr>
          <w:rFonts w:ascii="Calibri" w:hAnsi="Calibri"/>
          <w:b/>
          <w:color w:val="525866"/>
          <w:sz w:val="22"/>
        </w:rPr>
        <w:t xml:space="preserve">Infrastructure AUM up 40% YoY: </w:t>
      </w:r>
      <w:r>
        <w:rPr>
          <w:rFonts w:ascii="Calibri" w:hAnsi="Calibri"/>
          <w:color w:val="525866"/>
          <w:sz w:val="22"/>
        </w:rPr>
        <w:t>BX's infrastructure AUM grew 40% YoY to $90B. This validates the secular demand for infrastructure alternatives that ARES is capturing through its core infrastructure wealth fund (~$1.9B raised in Q2 alone).</w:t>
      </w:r>
    </w:p>
    <w:p>
      <w:pPr>
        <w:pStyle w:val="Heading2"/>
      </w:pPr>
      <w:r>
        <w:rPr>
          <w:rFonts w:ascii="Calibri" w:hAnsi="Calibri"/>
          <w:b/>
          <w:color w:val="3B4259"/>
          <w:sz w:val="28"/>
        </w:rPr>
        <w:t>KKR — Q2 2026 Earnings (July 30,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Record results across all metrics: </w:t>
      </w:r>
      <w:r>
        <w:rPr>
          <w:rFonts w:ascii="Calibri" w:hAnsi="Calibri"/>
          <w:color w:val="525866"/>
          <w:sz w:val="22"/>
        </w:rPr>
        <w:t>KKR reported record FRE ($1.32/share, +34% YoY), total operating earnings ($1.68/share, +27% YoY), and adjusted net income ($1.63/share, +38% YoY). Management fees of $1.2B were up 26% YoY. This is a strong positive read-through for ARES's management fee and FRE trajectory.</w:t>
      </w:r>
    </w:p>
    <w:p>
      <w:pPr>
        <w:pStyle w:val="ListBullet"/>
        <w:ind w:left="360" w:hanging="360"/>
      </w:pPr>
      <w:r>
        <w:rPr>
          <w:rFonts w:ascii="Calibri" w:hAnsi="Calibri"/>
          <w:b/>
          <w:color w:val="525866"/>
          <w:sz w:val="22"/>
        </w:rPr>
        <w:t xml:space="preserve">FRE margin at 70%+: </w:t>
      </w:r>
      <w:r>
        <w:rPr>
          <w:rFonts w:ascii="Calibri" w:hAnsi="Calibri"/>
          <w:color w:val="525866"/>
          <w:sz w:val="22"/>
        </w:rPr>
        <w:t>KKR's FRE margin was 70% in Q2, consistently above 65% for 10 consecutive quarters. While ARES operates at a lower margin (~42%), KKR's margin expansion demonstrates the operating leverage available in the alt manager model as revenue scales faster than expenses.</w:t>
      </w:r>
    </w:p>
    <w:p>
      <w:pPr>
        <w:pStyle w:val="ListBullet"/>
        <w:ind w:left="360" w:hanging="360"/>
      </w:pPr>
      <w:r>
        <w:rPr>
          <w:rFonts w:ascii="Calibri" w:hAnsi="Calibri"/>
          <w:b/>
          <w:color w:val="525866"/>
          <w:sz w:val="22"/>
        </w:rPr>
        <w:t xml:space="preserve">Wealth channel rebound: </w:t>
      </w:r>
      <w:r>
        <w:rPr>
          <w:rFonts w:ascii="Calibri" w:hAnsi="Calibri"/>
          <w:color w:val="525866"/>
          <w:sz w:val="22"/>
        </w:rPr>
        <w:t>K-series AUM reached $42B (+70% YoY), with $3B raised in Q2 and a 'meaningful rebound from April lows.' ~40% of recent activity came from outside the US. This is a positive read-through for ARES's diversified wealth platform recovery.</w:t>
      </w:r>
    </w:p>
    <w:p>
      <w:pPr>
        <w:pStyle w:val="ListBullet"/>
        <w:ind w:left="360" w:hanging="360"/>
      </w:pPr>
      <w:r>
        <w:rPr>
          <w:rFonts w:ascii="Calibri" w:hAnsi="Calibri"/>
          <w:b/>
          <w:color w:val="525866"/>
          <w:sz w:val="22"/>
        </w:rPr>
        <w:t xml:space="preserve">Credit fundraising record year: </w:t>
      </w:r>
      <w:r>
        <w:rPr>
          <w:rFonts w:ascii="Calibri" w:hAnsi="Calibri"/>
          <w:color w:val="525866"/>
          <w:sz w:val="22"/>
        </w:rPr>
        <w:t>KKR anticipates a record third-party credit fundraising year. Credit AUM up ~35% since Global Atlantic acquisition. ABF business grew from $42B to $92B in three years. This validates ARES's ABF platform positioning and the secular demand for private credit alternatives.</w:t>
      </w:r>
    </w:p>
    <w:p>
      <w:pPr>
        <w:pStyle w:val="ListBullet"/>
        <w:ind w:left="360" w:hanging="360"/>
      </w:pPr>
      <w:r>
        <w:rPr>
          <w:rFonts w:ascii="Calibri" w:hAnsi="Calibri"/>
          <w:b/>
          <w:color w:val="525866"/>
          <w:sz w:val="22"/>
        </w:rPr>
        <w:t xml:space="preserve">K-shaped industry dynamic: </w:t>
      </w:r>
      <w:r>
        <w:rPr>
          <w:rFonts w:ascii="Calibri" w:hAnsi="Calibri"/>
          <w:color w:val="525866"/>
          <w:sz w:val="22"/>
        </w:rPr>
        <w:t>KKR's Scott Nuttall characterized the industry as 'k-shaped,' with scaled platforms on the 'happy part of the K.' He dismissed concerns about private credit anxiety, wealth redemptions, PE monetization slowdowns, and AI software disruption as disconnected from internal operating fundamentals. This is a direct positive read-through for ARES's narrative.</w:t>
      </w:r>
    </w:p>
    <w:p>
      <w:pPr>
        <w:pStyle w:val="ListBullet"/>
        <w:ind w:left="360" w:hanging="360"/>
      </w:pPr>
      <w:r>
        <w:rPr>
          <w:rFonts w:ascii="Calibri" w:hAnsi="Calibri"/>
          <w:b/>
          <w:color w:val="525866"/>
          <w:sz w:val="22"/>
        </w:rPr>
        <w:t xml:space="preserve">Performance income visibility: </w:t>
      </w:r>
      <w:r>
        <w:rPr>
          <w:rFonts w:ascii="Calibri" w:hAnsi="Calibri"/>
          <w:color w:val="525866"/>
          <w:sz w:val="22"/>
        </w:rPr>
        <w:t>KKR has ~$700M of monetization-related visibility for Q3, split ~80% realized performance revenue and 20% realized investment income. Total unrealized gains of $18.2B. This supports the broader sector performance income recovery narrative.</w:t>
      </w:r>
    </w:p>
    <w:p>
      <w:pPr>
        <w:pStyle w:val="Heading2"/>
      </w:pPr>
      <w:r>
        <w:rPr>
          <w:rFonts w:ascii="Calibri" w:hAnsi="Calibri"/>
          <w:b/>
          <w:color w:val="3B4259"/>
          <w:sz w:val="28"/>
        </w:rPr>
        <w:t>Blackstone (BX) — Morgan Stanley US Financials Conference (June 9,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Economy 'remarkably resilient': </w:t>
      </w:r>
      <w:r>
        <w:rPr>
          <w:rFonts w:ascii="Calibri" w:hAnsi="Calibri"/>
          <w:color w:val="525866"/>
          <w:sz w:val="22"/>
        </w:rPr>
        <w:t>BX President Jonathan Gray described the economy as 'much more resilient than people expected,' with BX's private equity companies showing 10% revenue growth in Q2. This is a positive read-through for ARES's credit portfolio health and EBITDA growth narrative.</w:t>
      </w:r>
    </w:p>
    <w:p>
      <w:pPr>
        <w:pStyle w:val="ListBullet"/>
        <w:ind w:left="360" w:hanging="360"/>
      </w:pPr>
      <w:r>
        <w:rPr>
          <w:rFonts w:ascii="Calibri" w:hAnsi="Calibri"/>
          <w:b/>
          <w:color w:val="525866"/>
          <w:sz w:val="22"/>
        </w:rPr>
        <w:t xml:space="preserve">Private credit doom narrative dismissed: </w:t>
      </w:r>
      <w:r>
        <w:rPr>
          <w:rFonts w:ascii="Calibri" w:hAnsi="Calibri"/>
          <w:color w:val="525866"/>
          <w:sz w:val="22"/>
        </w:rPr>
        <w:t>Gray dismissed 'town cryers of private credit doom,' noting BCRED has &lt;1x leverage, 40% LTV loans, 700 borrowers, and EBITDA up double digits. Debt service coverage ratios up 20%. This directly supports ARES's credit quality narrative and management's defense of the private credit model.</w:t>
      </w:r>
    </w:p>
    <w:p>
      <w:pPr>
        <w:pStyle w:val="ListBullet"/>
        <w:ind w:left="360" w:hanging="360"/>
      </w:pPr>
      <w:r>
        <w:rPr>
          <w:rFonts w:ascii="Calibri" w:hAnsi="Calibri"/>
          <w:b/>
          <w:color w:val="525866"/>
          <w:sz w:val="22"/>
        </w:rPr>
        <w:t xml:space="preserve">Wealth channel recovery in June: </w:t>
      </w:r>
      <w:r>
        <w:rPr>
          <w:rFonts w:ascii="Calibri" w:hAnsi="Calibri"/>
          <w:color w:val="525866"/>
          <w:sz w:val="22"/>
        </w:rPr>
        <w:t>After April–May slowdown, flows were 'up 50% back to Q1 levels by June 1.' BXP had its best inflows since launch in June. This is a positive read-through for ARES's Q2 wealth inflow data.</w:t>
      </w:r>
    </w:p>
    <w:p>
      <w:pPr>
        <w:pStyle w:val="ListBullet"/>
        <w:ind w:left="360" w:hanging="360"/>
      </w:pPr>
      <w:r>
        <w:rPr>
          <w:rFonts w:ascii="Calibri" w:hAnsi="Calibri"/>
          <w:b/>
          <w:color w:val="525866"/>
          <w:sz w:val="22"/>
        </w:rPr>
        <w:t xml:space="preserve">AI infrastructure as top deployment priority: </w:t>
      </w:r>
      <w:r>
        <w:rPr>
          <w:rFonts w:ascii="Calibri" w:hAnsi="Calibri"/>
          <w:color w:val="525866"/>
          <w:sz w:val="22"/>
        </w:rPr>
        <w:t>BX is the 'biggest investor in data centers in the world' with $160B in standing/under-construction data centers and an equal-sized pipeline. The $5B Google TPU partnership and Anthropic partnership were highlighted. This validates ARES's digital infrastructure strategy and data center equity fund launch.</w:t>
      </w:r>
    </w:p>
    <w:p>
      <w:pPr>
        <w:pStyle w:val="ListBullet"/>
        <w:ind w:left="360" w:hanging="360"/>
      </w:pPr>
      <w:r>
        <w:rPr>
          <w:rFonts w:ascii="Calibri" w:hAnsi="Calibri"/>
          <w:b/>
          <w:color w:val="525866"/>
          <w:sz w:val="22"/>
        </w:rPr>
        <w:t xml:space="preserve">Secondaries crossed $100B AUM: </w:t>
      </w:r>
      <w:r>
        <w:rPr>
          <w:rFonts w:ascii="Calibri" w:hAnsi="Calibri"/>
          <w:color w:val="525866"/>
          <w:sz w:val="22"/>
        </w:rPr>
        <w:t>BX's secondaries business crossed $100B in Q1, with market anticipation of $250B in secondaries volume for 2026 (a record year). This is a positive read-through for ARES's secondaries platform (~$40B AUM).</w:t>
      </w:r>
    </w:p>
    <w:p>
      <w:pPr>
        <w:pStyle w:val="Heading2"/>
      </w:pPr>
      <w:r>
        <w:rPr>
          <w:rFonts w:ascii="Calibri" w:hAnsi="Calibri"/>
          <w:b/>
          <w:color w:val="3B4259"/>
          <w:sz w:val="28"/>
        </w:rPr>
        <w:t>KKR — Bernstein Strategic Decisions Conference (May 27,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'Anxiety exceeds reality': </w:t>
      </w:r>
      <w:r>
        <w:rPr>
          <w:rFonts w:ascii="Calibri" w:hAnsi="Calibri"/>
          <w:color w:val="525866"/>
          <w:sz w:val="22"/>
        </w:rPr>
        <w:t>KKR's Scott Nuttall stated 'from our seats, it does not at all feel like a tough environment' and 'the anxiety exceeds the reality as it relates to our business day-to-day.' Management fees up 23% LTM, all operating metrics up 20%+ in Q1. This is a direct positive read-through for ARES's confident management tone.</w:t>
      </w:r>
    </w:p>
    <w:p>
      <w:pPr>
        <w:pStyle w:val="ListBullet"/>
        <w:ind w:left="360" w:hanging="360"/>
      </w:pPr>
      <w:r>
        <w:rPr>
          <w:rFonts w:ascii="Calibri" w:hAnsi="Calibri"/>
          <w:b/>
          <w:color w:val="525866"/>
          <w:sz w:val="22"/>
        </w:rPr>
        <w:t xml:space="preserve">Direct lending terms improving: </w:t>
      </w:r>
      <w:r>
        <w:rPr>
          <w:rFonts w:ascii="Calibri" w:hAnsi="Calibri"/>
          <w:color w:val="525866"/>
          <w:sz w:val="22"/>
        </w:rPr>
        <w:t>KKR observed 'spreads out 50, 75, 100 bps, fees are up, leverage down 0.5 to 1 turn, docs are tighter.' Institutional demand for direct lending has increased. This is a positive read-through for ARES's US direct lending deployment pipeline and economics.</w:t>
      </w:r>
    </w:p>
    <w:p>
      <w:pPr>
        <w:pStyle w:val="ListBullet"/>
        <w:ind w:left="360" w:hanging="360"/>
      </w:pPr>
      <w:r>
        <w:rPr>
          <w:rFonts w:ascii="Calibri" w:hAnsi="Calibri"/>
          <w:b/>
          <w:color w:val="525866"/>
          <w:sz w:val="22"/>
        </w:rPr>
        <w:t xml:space="preserve">ABF at 'third inning': </w:t>
      </w:r>
      <w:r>
        <w:rPr>
          <w:rFonts w:ascii="Calibri" w:hAnsi="Calibri"/>
          <w:color w:val="525866"/>
          <w:sz w:val="22"/>
        </w:rPr>
        <w:t>KKR's ABF business grew from $42B to $92B in three years; annual high-grade ABF origination ~$40B. KKR views ABF as a 'much larger, deeper market' than direct lending with higher barriers to entry. This validates ARES's ABF platform positioning (Pathfinder III at ~$12.5B, largest global ABF fund).</w:t>
      </w:r>
    </w:p>
    <w:p>
      <w:pPr>
        <w:pStyle w:val="ListBullet"/>
        <w:ind w:left="360" w:hanging="360"/>
      </w:pPr>
      <w:r>
        <w:rPr>
          <w:rFonts w:ascii="Calibri" w:hAnsi="Calibri"/>
          <w:b/>
          <w:color w:val="525866"/>
          <w:sz w:val="22"/>
        </w:rPr>
        <w:t xml:space="preserve">Wealth channel: 7 of 8 vehicles with positive inflows: </w:t>
      </w:r>
      <w:r>
        <w:rPr>
          <w:rFonts w:ascii="Calibri" w:hAnsi="Calibri"/>
          <w:color w:val="525866"/>
          <w:sz w:val="22"/>
        </w:rPr>
        <w:t>KKR's wealth vehicles had positive inflows in Q1 with only 60 bps of gross outflows in PE/infrastructure. 85% of wealth capital in PE and infrastructure. This is a positive read-through for ARES's diversified wealth platform (6 of 8 products outside US private credit).</w:t>
      </w:r>
    </w:p>
    <w:p>
      <w:pPr>
        <w:pStyle w:val="ListBullet"/>
        <w:ind w:left="360" w:hanging="360"/>
      </w:pPr>
      <w:r>
        <w:rPr>
          <w:rFonts w:ascii="Calibri" w:hAnsi="Calibri"/>
          <w:b/>
          <w:color w:val="525866"/>
          <w:sz w:val="22"/>
        </w:rPr>
        <w:t xml:space="preserve">Record fundraising near all-time high: </w:t>
      </w:r>
      <w:r>
        <w:rPr>
          <w:rFonts w:ascii="Calibri" w:hAnsi="Calibri"/>
          <w:color w:val="525866"/>
          <w:sz w:val="22"/>
        </w:rPr>
        <w:t>KKR raised $127B in the last 12 months, within $2B of its all-time record of $129B. This validates the sector-wide fundraising momentum that ARES is also capturing.</w:t>
      </w:r>
    </w:p>
    <w:p>
      <w:pPr>
        <w:pStyle w:val="Heading2"/>
      </w:pPr>
      <w:r>
        <w:rPr>
          <w:rFonts w:ascii="Calibri" w:hAnsi="Calibri"/>
          <w:b/>
          <w:color w:val="3B4259"/>
          <w:sz w:val="28"/>
        </w:rPr>
        <w:t>Apollo (APO) — Morgan Stanley US Financials Conference (June 10, 2026)</w:t>
      </w:r>
    </w:p>
    <w:p>
      <w:r>
        <w:rPr>
          <w:rFonts w:ascii="Calibri" w:hAnsi="Calibri"/>
          <w:b/>
          <w:color w:val="525866"/>
          <w:sz w:val="22"/>
        </w:rPr>
        <w:t xml:space="preserve">Read-Through Signal: </w:t>
      </w:r>
      <w:r>
        <w:rPr>
          <w:rFonts w:ascii="Calibri" w:hAnsi="Calibri"/>
          <w:color w:val="525866"/>
          <w:sz w:val="22"/>
        </w:rPr>
        <w:t>Mixed</w:t>
      </w:r>
    </w:p>
    <w:p>
      <w:pPr>
        <w:pStyle w:val="ListBullet"/>
        <w:ind w:left="360" w:hanging="360"/>
      </w:pPr>
      <w:r>
        <w:rPr>
          <w:rFonts w:ascii="Calibri" w:hAnsi="Calibri"/>
          <w:b/>
          <w:color w:val="525866"/>
          <w:sz w:val="22"/>
        </w:rPr>
        <w:t xml:space="preserve">Macro environment 'bifurcated': </w:t>
      </w:r>
      <w:r>
        <w:rPr>
          <w:rFonts w:ascii="Calibri" w:hAnsi="Calibri"/>
          <w:color w:val="525866"/>
          <w:sz w:val="22"/>
        </w:rPr>
        <w:t>Apollo's John Zito described the macro as 'as hard of an environment to probability weight what the world looks like in 12–24 months as it's been in a long time.' Higher-for-longer rates, inflation concerns, and geopolitical fragmentation alongside strong corporate earnings. Neutral read-through for ARES.</w:t>
      </w:r>
    </w:p>
    <w:p>
      <w:pPr>
        <w:pStyle w:val="ListBullet"/>
        <w:ind w:left="360" w:hanging="360"/>
      </w:pPr>
      <w:r>
        <w:rPr>
          <w:rFonts w:ascii="Calibri" w:hAnsi="Calibri"/>
          <w:b/>
          <w:color w:val="525866"/>
          <w:sz w:val="22"/>
        </w:rPr>
        <w:t xml:space="preserve">Private credit redemptions elevated but no systemic risk: </w:t>
      </w:r>
      <w:r>
        <w:rPr>
          <w:rFonts w:ascii="Calibri" w:hAnsi="Calibri"/>
          <w:color w:val="525866"/>
          <w:sz w:val="22"/>
        </w:rPr>
        <w:t>Zito acknowledged 'redemptions are high right now, there's no way to hide from that' but noted 'there's been no run, no SVB, no financial institutions failing.' Apollo's vehicle has $5B of liquidity to redeem $750M. This is a mixed read-through — validates ARES's narrative that redemptions are manageable but confirms the headwind is real.</w:t>
      </w:r>
    </w:p>
    <w:p>
      <w:pPr>
        <w:pStyle w:val="ListBullet"/>
        <w:ind w:left="360" w:hanging="360"/>
      </w:pPr>
      <w:r>
        <w:rPr>
          <w:rFonts w:ascii="Calibri" w:hAnsi="Calibri"/>
          <w:b/>
          <w:color w:val="525866"/>
          <w:sz w:val="22"/>
        </w:rPr>
        <w:t xml:space="preserve">Origination at $300–400B this year: </w:t>
      </w:r>
      <w:r>
        <w:rPr>
          <w:rFonts w:ascii="Calibri" w:hAnsi="Calibri"/>
          <w:color w:val="525866"/>
          <w:sz w:val="22"/>
        </w:rPr>
        <w:t>Apollo expects to originate $300–400B in 2026, up from $50B historically. The $36B Broadcom financing and $15B SpaceX deals highlight the scale of large-ticket private credit. This validates ARES's positioning in large-ticket ABF and digital infrastructure lending.</w:t>
      </w:r>
    </w:p>
    <w:p>
      <w:pPr>
        <w:pStyle w:val="ListBullet"/>
        <w:ind w:left="360" w:hanging="360"/>
      </w:pPr>
      <w:r>
        <w:rPr>
          <w:rFonts w:ascii="Calibri" w:hAnsi="Calibri"/>
          <w:b/>
          <w:color w:val="525866"/>
          <w:sz w:val="22"/>
        </w:rPr>
        <w:t xml:space="preserve">Illiquidity premium compressing: </w:t>
      </w:r>
      <w:r>
        <w:rPr>
          <w:rFonts w:ascii="Calibri" w:hAnsi="Calibri"/>
          <w:color w:val="525866"/>
          <w:sz w:val="22"/>
        </w:rPr>
        <w:t>Zito noted the illiquidity premium may compress from 150–200 bps historically to 100–150 bps, with origination spread becoming the predominant component of excess return. This is a mild negative read-through for ARES's private credit spread durability narrative, though ARES management has made a similar argument about the complexity and relationship premium.</w:t>
      </w:r>
    </w:p>
    <w:p>
      <w:pPr>
        <w:pStyle w:val="ListBullet"/>
        <w:ind w:left="360" w:hanging="360"/>
      </w:pPr>
      <w:r>
        <w:rPr>
          <w:rFonts w:ascii="Calibri" w:hAnsi="Calibri"/>
          <w:b/>
          <w:color w:val="525866"/>
          <w:sz w:val="22"/>
        </w:rPr>
        <w:t xml:space="preserve">Institutional demand 'very strong': </w:t>
      </w:r>
      <w:r>
        <w:rPr>
          <w:rFonts w:ascii="Calibri" w:hAnsi="Calibri"/>
          <w:color w:val="525866"/>
          <w:sz w:val="22"/>
        </w:rPr>
        <w:t>Institutional demand for credit, infrastructure, and hybrid is 'very strong.' Institutions are 'still underweight' private debt and 'waiting for spreads to go wider.' This is a positive read-through for ARES's institutional fundraising pipeline.</w:t>
      </w:r>
    </w:p>
    <w:p>
      <w:pPr>
        <w:pStyle w:val="Heading2"/>
      </w:pPr>
      <w:r>
        <w:rPr>
          <w:rFonts w:ascii="Calibri" w:hAnsi="Calibri"/>
          <w:b/>
          <w:color w:val="3B4259"/>
          <w:sz w:val="28"/>
        </w:rPr>
        <w:t>KKR — Morgan Stanley US Financials Conference (June 10,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Infrastructure allocations at record highs: </w:t>
      </w:r>
      <w:r>
        <w:rPr>
          <w:rFonts w:ascii="Calibri" w:hAnsi="Calibri"/>
          <w:color w:val="525866"/>
          <w:sz w:val="22"/>
        </w:rPr>
        <w:t>Institutional infrastructure allocations reached a record 6.4% of portfolios in 2026, up from 3.3% seven years ago. KKR's infrastructure AUM doubled in recent years. This is a positive read-through for ARES's infrastructure fundraising momentum.</w:t>
      </w:r>
    </w:p>
    <w:p>
      <w:pPr>
        <w:pStyle w:val="ListBullet"/>
        <w:ind w:left="360" w:hanging="360"/>
      </w:pPr>
      <w:r>
        <w:rPr>
          <w:rFonts w:ascii="Calibri" w:hAnsi="Calibri"/>
          <w:b/>
          <w:color w:val="525866"/>
          <w:sz w:val="22"/>
        </w:rPr>
        <w:t xml:space="preserve">Digital infrastructure 'undercapitalized': </w:t>
      </w:r>
      <w:r>
        <w:rPr>
          <w:rFonts w:ascii="Calibri" w:hAnsi="Calibri"/>
          <w:color w:val="525866"/>
          <w:sz w:val="22"/>
        </w:rPr>
        <w:t>KKR feels 'undercapitalized' in digital infrastructure, currently deploying $2.5–3B/year vs. an opportunity set 'probably 10x that.' Hyperscalers are doubling data center capacity in 2026 and again in 2027. This validates ARES's data center equity fund launch and the scale of the digital infrastructure opportunity.</w:t>
      </w:r>
    </w:p>
    <w:p>
      <w:pPr>
        <w:pStyle w:val="ListBullet"/>
        <w:ind w:left="360" w:hanging="360"/>
      </w:pPr>
      <w:r>
        <w:rPr>
          <w:rFonts w:ascii="Calibri" w:hAnsi="Calibri"/>
          <w:b/>
          <w:color w:val="525866"/>
          <w:sz w:val="22"/>
        </w:rPr>
        <w:t xml:space="preserve">Wealth channel: 'very strong flows in infrastructure': </w:t>
      </w:r>
      <w:r>
        <w:rPr>
          <w:rFonts w:ascii="Calibri" w:hAnsi="Calibri"/>
          <w:color w:val="525866"/>
          <w:sz w:val="22"/>
        </w:rPr>
        <w:t>Despite 'issues in private credit,' KKR is 'seeing very strong flows continuing in the infrastructure space in the wealth market.' This is a positive read-through for ARES's infrastructure wealth fund (~$1.9B raised in Q2).</w:t>
      </w:r>
    </w:p>
    <w:p>
      <w:pPr>
        <w:pStyle w:val="Heading2"/>
      </w:pPr>
      <w:r>
        <w:rPr>
          <w:rFonts w:ascii="Calibri" w:hAnsi="Calibri"/>
          <w:b/>
          <w:color w:val="3B4259"/>
          <w:sz w:val="28"/>
        </w:rPr>
        <w:t>TPG — Morgan Stanley US Financials Conference (June 9, 2026)</w:t>
      </w:r>
    </w:p>
    <w:p>
      <w:r>
        <w:rPr>
          <w:rFonts w:ascii="Calibri" w:hAnsi="Calibri"/>
          <w:b/>
          <w:color w:val="525866"/>
          <w:sz w:val="22"/>
        </w:rPr>
        <w:t xml:space="preserve">Read-Through Signal: </w:t>
      </w:r>
      <w:r>
        <w:rPr>
          <w:rFonts w:ascii="Calibri" w:hAnsi="Calibri"/>
          <w:b/>
          <w:color w:val="30A46C"/>
          <w:sz w:val="22"/>
        </w:rPr>
        <w:t>Positive</w:t>
      </w:r>
    </w:p>
    <w:p>
      <w:pPr>
        <w:pStyle w:val="ListBullet"/>
        <w:ind w:left="360" w:hanging="360"/>
      </w:pPr>
      <w:r>
        <w:rPr>
          <w:rFonts w:ascii="Calibri" w:hAnsi="Calibri"/>
          <w:b/>
          <w:color w:val="525866"/>
          <w:sz w:val="22"/>
        </w:rPr>
        <w:t xml:space="preserve">Deployment up 74% YoY in Q1: </w:t>
      </w:r>
      <w:r>
        <w:rPr>
          <w:rFonts w:ascii="Calibri" w:hAnsi="Calibri"/>
          <w:color w:val="525866"/>
          <w:sz w:val="22"/>
        </w:rPr>
        <w:t>TPG's Q1 deployment was up 74% YoY across all business units, with private equity up 100%+ and credit up 56%. This is a positive read-through for ARES's deployment pipeline and the broader deal activity environment.</w:t>
      </w:r>
    </w:p>
    <w:p>
      <w:pPr>
        <w:pStyle w:val="ListBullet"/>
        <w:ind w:left="360" w:hanging="360"/>
      </w:pPr>
      <w:r>
        <w:rPr>
          <w:rFonts w:ascii="Calibri" w:hAnsi="Calibri"/>
          <w:b/>
          <w:color w:val="525866"/>
          <w:sz w:val="22"/>
        </w:rPr>
        <w:t xml:space="preserve">Non-traded BDC (TCAP) performing well: </w:t>
      </w:r>
      <w:r>
        <w:rPr>
          <w:rFonts w:ascii="Calibri" w:hAnsi="Calibri"/>
          <w:color w:val="525866"/>
          <w:sz w:val="22"/>
        </w:rPr>
        <w:t>TPG's TCAP reported $181M of net inflows and redemptions of only 2.1% (well under the 5% cap), with 'very strong credit results, stable quarter-over-quarter.' This is a positive read-through for ARES's ASIF non-traded BDC, suggesting the redemption issue is not universal and is concentrated in specific platforms.</w:t>
      </w:r>
    </w:p>
    <w:p>
      <w:pPr>
        <w:pStyle w:val="ListBullet"/>
        <w:ind w:left="360" w:hanging="360"/>
      </w:pPr>
      <w:r>
        <w:rPr>
          <w:rFonts w:ascii="Calibri" w:hAnsi="Calibri"/>
          <w:b/>
          <w:color w:val="525866"/>
          <w:sz w:val="22"/>
        </w:rPr>
        <w:t xml:space="preserve">Fundraising guidance of $50B+ reiterated: </w:t>
      </w:r>
      <w:r>
        <w:rPr>
          <w:rFonts w:ascii="Calibri" w:hAnsi="Calibri"/>
          <w:color w:val="525866"/>
          <w:sz w:val="22"/>
        </w:rPr>
        <w:t>TPG reiterated guidance for capital raising to exceed $50B in 2026 with a pickup in the second half. This validates the sector-wide fundraising momentum narrative.</w:t>
      </w:r>
    </w:p>
    <w:p>
      <w:pPr>
        <w:pStyle w:val="ListBullet"/>
        <w:ind w:left="360" w:hanging="360"/>
      </w:pPr>
      <w:r>
        <w:rPr>
          <w:rFonts w:ascii="Calibri" w:hAnsi="Calibri"/>
          <w:b/>
          <w:color w:val="525866"/>
          <w:sz w:val="22"/>
        </w:rPr>
        <w:t xml:space="preserve">LP consolidation toward scaled platforms: </w:t>
      </w:r>
      <w:r>
        <w:rPr>
          <w:rFonts w:ascii="Calibri" w:hAnsi="Calibri"/>
          <w:color w:val="525866"/>
          <w:sz w:val="22"/>
        </w:rPr>
        <w:t>TPG noted 'down selecting of large allocators of capital globally' toward scaled platforms. TPG has been a 'real beneficiary of that.' This is a positive read-through for ARES's market share gain narrative as a scaled, diversified platform.</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 / Event</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ARES Read-Through</w:t>
            </w:r>
          </w:p>
        </w:tc>
      </w:tr>
      <w:tr>
        <w:tc>
          <w:tcPr>
            <w:tcW w:type="dxa" w:w="2160"/>
          </w:tcPr>
          <w:p>
            <w:r>
              <w:rPr>
                <w:rFonts w:ascii="Calibri" w:hAnsi="Calibri"/>
                <w:sz w:val="22"/>
              </w:rPr>
              <w:t>BX — Q2 2026 Earnings</w:t>
            </w:r>
          </w:p>
        </w:tc>
        <w:tc>
          <w:tcPr>
            <w:tcW w:type="dxa" w:w="2160"/>
          </w:tcPr>
          <w:p>
            <w:r>
              <w:rPr>
                <w:rFonts w:ascii="Calibri" w:hAnsi="Calibri"/>
                <w:sz w:val="22"/>
              </w:rPr>
              <w:t>Jul 23, 2026</w:t>
            </w:r>
          </w:p>
        </w:tc>
        <w:tc>
          <w:tcPr>
            <w:tcW w:type="dxa" w:w="2160"/>
          </w:tcPr>
          <w:p>
            <w:r>
              <w:rPr>
                <w:rFonts w:ascii="Calibri" w:hAnsi="Calibri"/>
                <w:b/>
                <w:color w:val="30A46C"/>
                <w:sz w:val="22"/>
              </w:rPr>
              <w:t>Positive</w:t>
            </w:r>
          </w:p>
        </w:tc>
        <w:tc>
          <w:tcPr>
            <w:tcW w:type="dxa" w:w="2160"/>
          </w:tcPr>
          <w:p>
            <w:r>
              <w:rPr>
                <w:rFonts w:ascii="Calibri" w:hAnsi="Calibri"/>
                <w:sz w:val="22"/>
              </w:rPr>
              <w:t>Record DE (+26% YoY), BCD redemptions 'down materially' in Q3, wealth recovery in June, IG credit demand strong</w:t>
            </w:r>
          </w:p>
        </w:tc>
      </w:tr>
      <w:tr>
        <w:tc>
          <w:tcPr>
            <w:tcW w:type="dxa" w:w="2160"/>
          </w:tcPr>
          <w:p>
            <w:r>
              <w:rPr>
                <w:rFonts w:ascii="Calibri" w:hAnsi="Calibri"/>
                <w:sz w:val="22"/>
              </w:rPr>
              <w:t>KKR — Q2 2026 Earnings</w:t>
            </w:r>
          </w:p>
        </w:tc>
        <w:tc>
          <w:tcPr>
            <w:tcW w:type="dxa" w:w="2160"/>
          </w:tcPr>
          <w:p>
            <w:r>
              <w:rPr>
                <w:rFonts w:ascii="Calibri" w:hAnsi="Calibri"/>
                <w:sz w:val="22"/>
              </w:rPr>
              <w:t>Jul 30, 2026</w:t>
            </w:r>
          </w:p>
        </w:tc>
        <w:tc>
          <w:tcPr>
            <w:tcW w:type="dxa" w:w="2160"/>
          </w:tcPr>
          <w:p>
            <w:r>
              <w:rPr>
                <w:rFonts w:ascii="Calibri" w:hAnsi="Calibri"/>
                <w:b/>
                <w:color w:val="30A46C"/>
                <w:sz w:val="22"/>
              </w:rPr>
              <w:t>Positive</w:t>
            </w:r>
          </w:p>
        </w:tc>
        <w:tc>
          <w:tcPr>
            <w:tcW w:type="dxa" w:w="2160"/>
          </w:tcPr>
          <w:p>
            <w:r>
              <w:rPr>
                <w:rFonts w:ascii="Calibri" w:hAnsi="Calibri"/>
                <w:sz w:val="22"/>
              </w:rPr>
              <w:t>Record FRE (+34% YoY), credit fundraising record year, wealth rebound, 'k-shaped' industry favoring scaled platforms</w:t>
            </w:r>
          </w:p>
        </w:tc>
      </w:tr>
      <w:tr>
        <w:tc>
          <w:tcPr>
            <w:tcW w:type="dxa" w:w="2160"/>
          </w:tcPr>
          <w:p>
            <w:r>
              <w:rPr>
                <w:rFonts w:ascii="Calibri" w:hAnsi="Calibri"/>
                <w:sz w:val="22"/>
              </w:rPr>
              <w:t>BX — MS Financials Conf.</w:t>
            </w:r>
          </w:p>
        </w:tc>
        <w:tc>
          <w:tcPr>
            <w:tcW w:type="dxa" w:w="2160"/>
          </w:tcPr>
          <w:p>
            <w:r>
              <w:rPr>
                <w:rFonts w:ascii="Calibri" w:hAnsi="Calibri"/>
                <w:sz w:val="22"/>
              </w:rPr>
              <w:t>Jun 9, 2026</w:t>
            </w:r>
          </w:p>
        </w:tc>
        <w:tc>
          <w:tcPr>
            <w:tcW w:type="dxa" w:w="2160"/>
          </w:tcPr>
          <w:p>
            <w:r>
              <w:rPr>
                <w:rFonts w:ascii="Calibri" w:hAnsi="Calibri"/>
                <w:b/>
                <w:color w:val="30A46C"/>
                <w:sz w:val="22"/>
              </w:rPr>
              <w:t>Positive</w:t>
            </w:r>
          </w:p>
        </w:tc>
        <w:tc>
          <w:tcPr>
            <w:tcW w:type="dxa" w:w="2160"/>
          </w:tcPr>
          <w:p>
            <w:r>
              <w:rPr>
                <w:rFonts w:ascii="Calibri" w:hAnsi="Calibri"/>
                <w:sz w:val="22"/>
              </w:rPr>
              <w:t>Economy resilient, private credit doom dismissed, wealth flows recovering, data center investment at scale</w:t>
            </w:r>
          </w:p>
        </w:tc>
      </w:tr>
      <w:tr>
        <w:tc>
          <w:tcPr>
            <w:tcW w:type="dxa" w:w="2160"/>
          </w:tcPr>
          <w:p>
            <w:r>
              <w:rPr>
                <w:rFonts w:ascii="Calibri" w:hAnsi="Calibri"/>
                <w:sz w:val="22"/>
              </w:rPr>
              <w:t>KKR — Bernstein Conf.</w:t>
            </w:r>
          </w:p>
        </w:tc>
        <w:tc>
          <w:tcPr>
            <w:tcW w:type="dxa" w:w="2160"/>
          </w:tcPr>
          <w:p>
            <w:r>
              <w:rPr>
                <w:rFonts w:ascii="Calibri" w:hAnsi="Calibri"/>
                <w:sz w:val="22"/>
              </w:rPr>
              <w:t>May 27, 2026</w:t>
            </w:r>
          </w:p>
        </w:tc>
        <w:tc>
          <w:tcPr>
            <w:tcW w:type="dxa" w:w="2160"/>
          </w:tcPr>
          <w:p>
            <w:r>
              <w:rPr>
                <w:rFonts w:ascii="Calibri" w:hAnsi="Calibri"/>
                <w:b/>
                <w:color w:val="30A46C"/>
                <w:sz w:val="22"/>
              </w:rPr>
              <w:t>Positive</w:t>
            </w:r>
          </w:p>
        </w:tc>
        <w:tc>
          <w:tcPr>
            <w:tcW w:type="dxa" w:w="2160"/>
          </w:tcPr>
          <w:p>
            <w:r>
              <w:rPr>
                <w:rFonts w:ascii="Calibri" w:hAnsi="Calibri"/>
                <w:sz w:val="22"/>
              </w:rPr>
              <w:t>Direct lending terms improving, ABF at 'third inning,' wealth 7/8 vehicles positive inflows, record fundraising</w:t>
            </w:r>
          </w:p>
        </w:tc>
      </w:tr>
      <w:tr>
        <w:tc>
          <w:tcPr>
            <w:tcW w:type="dxa" w:w="2160"/>
          </w:tcPr>
          <w:p>
            <w:r>
              <w:rPr>
                <w:rFonts w:ascii="Calibri" w:hAnsi="Calibri"/>
                <w:sz w:val="22"/>
              </w:rPr>
              <w:t>CG — MS Financials Conf.</w:t>
            </w:r>
          </w:p>
        </w:tc>
        <w:tc>
          <w:tcPr>
            <w:tcW w:type="dxa" w:w="2160"/>
          </w:tcPr>
          <w:p>
            <w:r>
              <w:rPr>
                <w:rFonts w:ascii="Calibri" w:hAnsi="Calibri"/>
                <w:sz w:val="22"/>
              </w:rPr>
              <w:t>Jun 10, 2026</w:t>
            </w:r>
          </w:p>
        </w:tc>
        <w:tc>
          <w:tcPr>
            <w:tcW w:type="dxa" w:w="2160"/>
          </w:tcPr>
          <w:p>
            <w:r>
              <w:rPr>
                <w:rFonts w:ascii="Calibri" w:hAnsi="Calibri"/>
                <w:b/>
                <w:color w:val="30A46C"/>
                <w:sz w:val="22"/>
              </w:rPr>
              <w:t>Positive</w:t>
            </w:r>
          </w:p>
        </w:tc>
        <w:tc>
          <w:tcPr>
            <w:tcW w:type="dxa" w:w="2160"/>
          </w:tcPr>
          <w:p>
            <w:r>
              <w:rPr>
                <w:rFonts w:ascii="Calibri" w:hAnsi="Calibri"/>
                <w:sz w:val="22"/>
              </w:rPr>
              <w:t>Economy resilient, direct lending terms improving, advisors 'very relaxed,' fundraising super cycle ahead</w:t>
            </w:r>
          </w:p>
        </w:tc>
      </w:tr>
      <w:tr>
        <w:tc>
          <w:tcPr>
            <w:tcW w:type="dxa" w:w="2160"/>
          </w:tcPr>
          <w:p>
            <w:r>
              <w:rPr>
                <w:rFonts w:ascii="Calibri" w:hAnsi="Calibri"/>
                <w:sz w:val="22"/>
              </w:rPr>
              <w:t>CG — Bernstein Conf.</w:t>
            </w:r>
          </w:p>
        </w:tc>
        <w:tc>
          <w:tcPr>
            <w:tcW w:type="dxa" w:w="2160"/>
          </w:tcPr>
          <w:p>
            <w:r>
              <w:rPr>
                <w:rFonts w:ascii="Calibri" w:hAnsi="Calibri"/>
                <w:sz w:val="22"/>
              </w:rPr>
              <w:t>May 27, 2026</w:t>
            </w:r>
          </w:p>
        </w:tc>
        <w:tc>
          <w:tcPr>
            <w:tcW w:type="dxa" w:w="2160"/>
          </w:tcPr>
          <w:p>
            <w:r>
              <w:rPr>
                <w:rFonts w:ascii="Calibri" w:hAnsi="Calibri"/>
                <w:b/>
                <w:color w:val="30A46C"/>
                <w:sz w:val="22"/>
              </w:rPr>
              <w:t>Positive</w:t>
            </w:r>
          </w:p>
        </w:tc>
        <w:tc>
          <w:tcPr>
            <w:tcW w:type="dxa" w:w="2160"/>
          </w:tcPr>
          <w:p>
            <w:r>
              <w:rPr>
                <w:rFonts w:ascii="Calibri" w:hAnsi="Calibri"/>
                <w:sz w:val="22"/>
              </w:rPr>
              <w:t>Geopolitical backdrop positive for capital demand, deployment opportunities 'extremely attractive'</w:t>
            </w:r>
          </w:p>
        </w:tc>
      </w:tr>
      <w:tr>
        <w:tc>
          <w:tcPr>
            <w:tcW w:type="dxa" w:w="2160"/>
          </w:tcPr>
          <w:p>
            <w:r>
              <w:rPr>
                <w:rFonts w:ascii="Calibri" w:hAnsi="Calibri"/>
                <w:sz w:val="22"/>
              </w:rPr>
              <w:t>APO — MS Financials Conf.</w:t>
            </w:r>
          </w:p>
        </w:tc>
        <w:tc>
          <w:tcPr>
            <w:tcW w:type="dxa" w:w="2160"/>
          </w:tcPr>
          <w:p>
            <w:r>
              <w:rPr>
                <w:rFonts w:ascii="Calibri" w:hAnsi="Calibri"/>
                <w:sz w:val="22"/>
              </w:rPr>
              <w:t>Jun 10, 2026</w:t>
            </w:r>
          </w:p>
        </w:tc>
        <w:tc>
          <w:tcPr>
            <w:tcW w:type="dxa" w:w="2160"/>
          </w:tcPr>
          <w:p>
            <w:r>
              <w:rPr>
                <w:rFonts w:ascii="Calibri" w:hAnsi="Calibri"/>
                <w:sz w:val="22"/>
              </w:rPr>
              <w:t>Mixed</w:t>
            </w:r>
          </w:p>
        </w:tc>
        <w:tc>
          <w:tcPr>
            <w:tcW w:type="dxa" w:w="2160"/>
          </w:tcPr>
          <w:p>
            <w:r>
              <w:rPr>
                <w:rFonts w:ascii="Calibri" w:hAnsi="Calibri"/>
                <w:sz w:val="22"/>
              </w:rPr>
              <w:t>Q2 origination strong, institutional demand robust; but BDC redemptions elevated for 'next couple of quarters,' illiquidity premium compressing</w:t>
            </w:r>
          </w:p>
        </w:tc>
      </w:tr>
      <w:tr>
        <w:tc>
          <w:tcPr>
            <w:tcW w:type="dxa" w:w="2160"/>
          </w:tcPr>
          <w:p>
            <w:r>
              <w:rPr>
                <w:rFonts w:ascii="Calibri" w:hAnsi="Calibri"/>
                <w:sz w:val="22"/>
              </w:rPr>
              <w:t>APO — Bernstein Conf.</w:t>
            </w:r>
          </w:p>
        </w:tc>
        <w:tc>
          <w:tcPr>
            <w:tcW w:type="dxa" w:w="2160"/>
          </w:tcPr>
          <w:p>
            <w:r>
              <w:rPr>
                <w:rFonts w:ascii="Calibri" w:hAnsi="Calibri"/>
                <w:sz w:val="22"/>
              </w:rPr>
              <w:t>May 28, 2026</w:t>
            </w:r>
          </w:p>
        </w:tc>
        <w:tc>
          <w:tcPr>
            <w:tcW w:type="dxa" w:w="2160"/>
          </w:tcPr>
          <w:p>
            <w:r>
              <w:rPr>
                <w:rFonts w:ascii="Calibri" w:hAnsi="Calibri"/>
                <w:sz w:val="22"/>
              </w:rPr>
              <w:t>Mixed</w:t>
            </w:r>
          </w:p>
        </w:tc>
        <w:tc>
          <w:tcPr>
            <w:tcW w:type="dxa" w:w="2160"/>
          </w:tcPr>
          <w:p>
            <w:r>
              <w:rPr>
                <w:rFonts w:ascii="Calibri" w:hAnsi="Calibri"/>
                <w:sz w:val="22"/>
              </w:rPr>
              <w:t>Q2 pipeline strong, FRE 20%+ reiterated; but default rates likely to trend higher, BDC redemptions to persist</w:t>
            </w:r>
          </w:p>
        </w:tc>
      </w:tr>
      <w:tr>
        <w:tc>
          <w:tcPr>
            <w:tcW w:type="dxa" w:w="2160"/>
          </w:tcPr>
          <w:p>
            <w:r>
              <w:rPr>
                <w:rFonts w:ascii="Calibri" w:hAnsi="Calibri"/>
                <w:sz w:val="22"/>
              </w:rPr>
              <w:t>TPG — MS Financials Conf.</w:t>
            </w:r>
          </w:p>
        </w:tc>
        <w:tc>
          <w:tcPr>
            <w:tcW w:type="dxa" w:w="2160"/>
          </w:tcPr>
          <w:p>
            <w:r>
              <w:rPr>
                <w:rFonts w:ascii="Calibri" w:hAnsi="Calibri"/>
                <w:sz w:val="22"/>
              </w:rPr>
              <w:t>Jun 9, 2026</w:t>
            </w:r>
          </w:p>
        </w:tc>
        <w:tc>
          <w:tcPr>
            <w:tcW w:type="dxa" w:w="2160"/>
          </w:tcPr>
          <w:p>
            <w:r>
              <w:rPr>
                <w:rFonts w:ascii="Calibri" w:hAnsi="Calibri"/>
                <w:b/>
                <w:color w:val="30A46C"/>
                <w:sz w:val="22"/>
              </w:rPr>
              <w:t>Positive</w:t>
            </w:r>
          </w:p>
        </w:tc>
        <w:tc>
          <w:tcPr>
            <w:tcW w:type="dxa" w:w="2160"/>
          </w:tcPr>
          <w:p>
            <w:r>
              <w:rPr>
                <w:rFonts w:ascii="Calibri" w:hAnsi="Calibri"/>
                <w:sz w:val="22"/>
              </w:rPr>
              <w:t>Deployment up 74% YoY, TCAP BDC performing well (2.1% redemptions), LP consolidation toward scaled platforms</w:t>
            </w:r>
          </w:p>
        </w:tc>
      </w:tr>
      <w:tr>
        <w:tc>
          <w:tcPr>
            <w:tcW w:type="dxa" w:w="2160"/>
          </w:tcPr>
          <w:p>
            <w:r>
              <w:rPr>
                <w:rFonts w:ascii="Calibri" w:hAnsi="Calibri"/>
                <w:sz w:val="22"/>
              </w:rPr>
              <w:t>KKR — MS Financials Conf.</w:t>
            </w:r>
          </w:p>
        </w:tc>
        <w:tc>
          <w:tcPr>
            <w:tcW w:type="dxa" w:w="2160"/>
          </w:tcPr>
          <w:p>
            <w:r>
              <w:rPr>
                <w:rFonts w:ascii="Calibri" w:hAnsi="Calibri"/>
                <w:sz w:val="22"/>
              </w:rPr>
              <w:t>Jun 10, 2026</w:t>
            </w:r>
          </w:p>
        </w:tc>
        <w:tc>
          <w:tcPr>
            <w:tcW w:type="dxa" w:w="2160"/>
          </w:tcPr>
          <w:p>
            <w:r>
              <w:rPr>
                <w:rFonts w:ascii="Calibri" w:hAnsi="Calibri"/>
                <w:b/>
                <w:color w:val="30A46C"/>
                <w:sz w:val="22"/>
              </w:rPr>
              <w:t>Positive</w:t>
            </w:r>
          </w:p>
        </w:tc>
        <w:tc>
          <w:tcPr>
            <w:tcW w:type="dxa" w:w="2160"/>
          </w:tcPr>
          <w:p>
            <w:r>
              <w:rPr>
                <w:rFonts w:ascii="Calibri" w:hAnsi="Calibri"/>
                <w:sz w:val="22"/>
              </w:rPr>
              <w:t>Infrastructure allocations at record highs, digital infra 'undercapitalized,' wealth flows strong in infrastructure</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in the window; all transactions are tax-withholding events (code F) or a grant (code G), which are </w:t>
      </w:r>
      <w:r>
        <w:rPr>
          <w:rFonts w:ascii="Calibri" w:hAnsi="Calibri"/>
          <w:b/>
          <w:color w:val="525866"/>
          <w:sz w:val="22"/>
        </w:rPr>
        <w:t>routine and non-informative</w:t>
      </w:r>
      <w:r>
        <w:rPr>
          <w:rFonts w:ascii="Calibri" w:hAnsi="Calibri"/>
          <w:color w:val="525866"/>
          <w:sz w:val="22"/>
        </w:rPr>
        <w:t xml:space="preserve"> as signals. The absence of any open-market purchases or 10b5-1 plan initiations is neutral — insiders are not signaling conviction either way.</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Michael J. Arougheti</w:t>
            </w:r>
          </w:p>
        </w:tc>
        <w:tc>
          <w:tcPr>
            <w:tcW w:type="dxa" w:w="1440"/>
          </w:tcPr>
          <w:p>
            <w:r>
              <w:rPr>
                <w:rFonts w:ascii="Calibri" w:hAnsi="Calibri"/>
                <w:sz w:val="22"/>
              </w:rPr>
              <w:t>Co-Founder &amp; CEO</w:t>
            </w:r>
          </w:p>
        </w:tc>
        <w:tc>
          <w:tcPr>
            <w:tcW w:type="dxa" w:w="1440"/>
          </w:tcPr>
          <w:p>
            <w:r>
              <w:rPr>
                <w:rFonts w:ascii="Calibri" w:hAnsi="Calibri"/>
                <w:sz w:val="22"/>
              </w:rPr>
              <w:t>Tax Withholding (Code F)</w:t>
            </w:r>
          </w:p>
        </w:tc>
        <w:tc>
          <w:tcPr>
            <w:tcW w:type="dxa" w:w="1440"/>
          </w:tcPr>
          <w:p>
            <w:r>
              <w:rPr>
                <w:rFonts w:ascii="Calibri" w:hAnsi="Calibri"/>
                <w:sz w:val="22"/>
              </w:rPr>
              <w:t>82,957 shares</w:t>
            </w:r>
          </w:p>
        </w:tc>
        <w:tc>
          <w:tcPr>
            <w:tcW w:type="dxa" w:w="1440"/>
          </w:tcPr>
          <w:p>
            <w:r>
              <w:rPr>
                <w:rFonts w:ascii="Calibri" w:hAnsi="Calibri"/>
                <w:sz w:val="22"/>
              </w:rPr>
              <w:t>Jun 30, 2026</w:t>
            </w:r>
          </w:p>
        </w:tc>
        <w:tc>
          <w:tcPr>
            <w:tcW w:type="dxa" w:w="1440"/>
          </w:tcPr>
          <w:p>
            <w:r>
              <w:rPr>
                <w:rFonts w:ascii="Calibri" w:hAnsi="Calibri"/>
                <w:sz w:val="22"/>
              </w:rPr>
              <w:t>Routine tax withholding on vesting; not a discretionary sale. Non-informative.</w:t>
            </w:r>
          </w:p>
        </w:tc>
      </w:tr>
      <w:tr>
        <w:tc>
          <w:tcPr>
            <w:tcW w:type="dxa" w:w="1440"/>
          </w:tcPr>
          <w:p>
            <w:r>
              <w:rPr>
                <w:rFonts w:ascii="Calibri" w:hAnsi="Calibri"/>
                <w:sz w:val="22"/>
              </w:rPr>
              <w:t>R. Kipp deVeer</w:t>
            </w:r>
          </w:p>
        </w:tc>
        <w:tc>
          <w:tcPr>
            <w:tcW w:type="dxa" w:w="1440"/>
          </w:tcPr>
          <w:p>
            <w:r>
              <w:rPr>
                <w:rFonts w:ascii="Calibri" w:hAnsi="Calibri"/>
                <w:sz w:val="22"/>
              </w:rPr>
              <w:t>Co-President &amp; Director</w:t>
            </w:r>
          </w:p>
        </w:tc>
        <w:tc>
          <w:tcPr>
            <w:tcW w:type="dxa" w:w="1440"/>
          </w:tcPr>
          <w:p>
            <w:r>
              <w:rPr>
                <w:rFonts w:ascii="Calibri" w:hAnsi="Calibri"/>
                <w:sz w:val="22"/>
              </w:rPr>
              <w:t>Tax Withholding (Code F)</w:t>
            </w:r>
          </w:p>
        </w:tc>
        <w:tc>
          <w:tcPr>
            <w:tcW w:type="dxa" w:w="1440"/>
          </w:tcPr>
          <w:p>
            <w:r>
              <w:rPr>
                <w:rFonts w:ascii="Calibri" w:hAnsi="Calibri"/>
                <w:sz w:val="22"/>
              </w:rPr>
              <w:t>82,957 shares</w:t>
            </w:r>
          </w:p>
        </w:tc>
        <w:tc>
          <w:tcPr>
            <w:tcW w:type="dxa" w:w="1440"/>
          </w:tcPr>
          <w:p>
            <w:r>
              <w:rPr>
                <w:rFonts w:ascii="Calibri" w:hAnsi="Calibri"/>
                <w:sz w:val="22"/>
              </w:rPr>
              <w:t>Jun 30, 2026</w:t>
            </w:r>
          </w:p>
        </w:tc>
        <w:tc>
          <w:tcPr>
            <w:tcW w:type="dxa" w:w="1440"/>
          </w:tcPr>
          <w:p>
            <w:r>
              <w:rPr>
                <w:rFonts w:ascii="Calibri" w:hAnsi="Calibri"/>
                <w:sz w:val="22"/>
              </w:rPr>
              <w:t>Routine tax withholding on vesting; not a discretionary sale. Non-informative.</w:t>
            </w:r>
          </w:p>
        </w:tc>
      </w:tr>
      <w:tr>
        <w:tc>
          <w:tcPr>
            <w:tcW w:type="dxa" w:w="1440"/>
          </w:tcPr>
          <w:p>
            <w:r>
              <w:rPr>
                <w:rFonts w:ascii="Calibri" w:hAnsi="Calibri"/>
                <w:sz w:val="22"/>
              </w:rPr>
              <w:t>Jarrod Phillips</w:t>
            </w:r>
          </w:p>
        </w:tc>
        <w:tc>
          <w:tcPr>
            <w:tcW w:type="dxa" w:w="1440"/>
          </w:tcPr>
          <w:p>
            <w:r>
              <w:rPr>
                <w:rFonts w:ascii="Calibri" w:hAnsi="Calibri"/>
                <w:sz w:val="22"/>
              </w:rPr>
              <w:t>Chief Financial Officer</w:t>
            </w:r>
          </w:p>
        </w:tc>
        <w:tc>
          <w:tcPr>
            <w:tcW w:type="dxa" w:w="1440"/>
          </w:tcPr>
          <w:p>
            <w:r>
              <w:rPr>
                <w:rFonts w:ascii="Calibri" w:hAnsi="Calibri"/>
                <w:sz w:val="22"/>
              </w:rPr>
              <w:t>Tax Withholding (Code F)</w:t>
            </w:r>
          </w:p>
        </w:tc>
        <w:tc>
          <w:tcPr>
            <w:tcW w:type="dxa" w:w="1440"/>
          </w:tcPr>
          <w:p>
            <w:r>
              <w:rPr>
                <w:rFonts w:ascii="Calibri" w:hAnsi="Calibri"/>
                <w:sz w:val="22"/>
              </w:rPr>
              <w:t>2,583 shares</w:t>
            </w:r>
          </w:p>
        </w:tc>
        <w:tc>
          <w:tcPr>
            <w:tcW w:type="dxa" w:w="1440"/>
          </w:tcPr>
          <w:p>
            <w:r>
              <w:rPr>
                <w:rFonts w:ascii="Calibri" w:hAnsi="Calibri"/>
                <w:sz w:val="22"/>
              </w:rPr>
              <w:t>Jul 1, 2026</w:t>
            </w:r>
          </w:p>
        </w:tc>
        <w:tc>
          <w:tcPr>
            <w:tcW w:type="dxa" w:w="1440"/>
          </w:tcPr>
          <w:p>
            <w:r>
              <w:rPr>
                <w:rFonts w:ascii="Calibri" w:hAnsi="Calibri"/>
                <w:sz w:val="22"/>
              </w:rPr>
              <w:t>Routine tax withholding on vesting; not a discretionary sale. Non-informative.</w:t>
            </w:r>
          </w:p>
        </w:tc>
      </w:tr>
      <w:tr>
        <w:tc>
          <w:tcPr>
            <w:tcW w:type="dxa" w:w="1440"/>
          </w:tcPr>
          <w:p>
            <w:r>
              <w:rPr>
                <w:rFonts w:ascii="Calibri" w:hAnsi="Calibri"/>
                <w:sz w:val="22"/>
              </w:rPr>
              <w:t>Blair Jacobson</w:t>
            </w:r>
          </w:p>
        </w:tc>
        <w:tc>
          <w:tcPr>
            <w:tcW w:type="dxa" w:w="1440"/>
          </w:tcPr>
          <w:p>
            <w:r>
              <w:rPr>
                <w:rFonts w:ascii="Calibri" w:hAnsi="Calibri"/>
                <w:sz w:val="22"/>
              </w:rPr>
              <w:t>Co-President</w:t>
            </w:r>
          </w:p>
        </w:tc>
        <w:tc>
          <w:tcPr>
            <w:tcW w:type="dxa" w:w="1440"/>
          </w:tcPr>
          <w:p>
            <w:r>
              <w:rPr>
                <w:rFonts w:ascii="Calibri" w:hAnsi="Calibri"/>
                <w:sz w:val="22"/>
              </w:rPr>
              <w:t>Grant (Code G)</w:t>
            </w:r>
          </w:p>
        </w:tc>
        <w:tc>
          <w:tcPr>
            <w:tcW w:type="dxa" w:w="1440"/>
          </w:tcPr>
          <w:p>
            <w:r>
              <w:rPr>
                <w:rFonts w:ascii="Calibri" w:hAnsi="Calibri"/>
                <w:sz w:val="22"/>
              </w:rPr>
              <w:t>8,000 shares</w:t>
            </w:r>
          </w:p>
        </w:tc>
        <w:tc>
          <w:tcPr>
            <w:tcW w:type="dxa" w:w="1440"/>
          </w:tcPr>
          <w:p>
            <w:r>
              <w:rPr>
                <w:rFonts w:ascii="Calibri" w:hAnsi="Calibri"/>
                <w:sz w:val="22"/>
              </w:rPr>
              <w:t>Jun 3, 2026</w:t>
            </w:r>
          </w:p>
        </w:tc>
        <w:tc>
          <w:tcPr>
            <w:tcW w:type="dxa" w:w="1440"/>
          </w:tcPr>
          <w:p>
            <w:r>
              <w:rPr>
                <w:rFonts w:ascii="Calibri" w:hAnsi="Calibri"/>
                <w:sz w:val="22"/>
              </w:rPr>
              <w:t>Equity grant/award; acquisition of shares, not a market purchase. Non-informative as a directional signal.</w:t>
            </w:r>
          </w:p>
        </w:tc>
      </w:tr>
    </w:tbl>
    <w:p>
      <w:r>
        <w:rPr>
          <w:rFonts w:ascii="Calibri" w:hAnsi="Calibri"/>
          <w:color w:val="525866"/>
          <w:sz w:val="22"/>
        </w:rPr>
        <w:t>No open-market purchases (Code P) or discretionary sales (Code S) were filed in the last 60 days. All transactions are either routine tax withholding events associated with equity vesting (Code F) or equity grants (Code G). There are no 10b5-1 plan initiations or terminations disclosed in the window. The insider picture is neutral — no clustered buys to signal conviction, but also no discretionary selling pressure ahead of the print.</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