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Ares Management Corporation (ARES)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Ares Management Corporation</w:t>
            </w:r>
          </w:p>
        </w:tc>
      </w:tr>
      <w:tr>
        <w:tc>
          <w:tcPr>
            <w:tcW w:type="dxa" w:w="4320"/>
          </w:tcPr>
          <w:p>
            <w:r>
              <w:rPr>
                <w:rFonts w:ascii="Calibri" w:hAnsi="Calibri"/>
                <w:b/>
                <w:sz w:val="22"/>
              </w:rPr>
              <w:t>Ticker</w:t>
            </w:r>
          </w:p>
        </w:tc>
        <w:tc>
          <w:tcPr>
            <w:tcW w:type="dxa" w:w="4320"/>
          </w:tcPr>
          <w:p>
            <w:r>
              <w:rPr>
                <w:rFonts w:ascii="Calibri" w:hAnsi="Calibri"/>
                <w:sz w:val="22"/>
              </w:rPr>
              <w:t>ARES US</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Call Date</w:t>
            </w:r>
          </w:p>
        </w:tc>
        <w:tc>
          <w:tcPr>
            <w:tcW w:type="dxa" w:w="4320"/>
          </w:tcPr>
          <w:p>
            <w:r>
              <w:rPr>
                <w:rFonts w:ascii="Calibri" w:hAnsi="Calibri"/>
                <w:sz w:val="22"/>
              </w:rPr>
              <w:t>July 31, 2026 — 11:00 AM ET</w:t>
            </w:r>
          </w:p>
        </w:tc>
      </w:tr>
      <w:tr>
        <w:tc>
          <w:tcPr>
            <w:tcW w:type="dxa" w:w="4320"/>
          </w:tcPr>
          <w:p>
            <w:r>
              <w:rPr>
                <w:rFonts w:ascii="Calibri" w:hAnsi="Calibri"/>
                <w:b/>
                <w:sz w:val="22"/>
              </w:rPr>
              <w:t>Last Earnings Date</w:t>
            </w:r>
          </w:p>
        </w:tc>
        <w:tc>
          <w:tcPr>
            <w:tcW w:type="dxa" w:w="4320"/>
          </w:tcPr>
          <w:p>
            <w:r>
              <w:rPr>
                <w:rFonts w:ascii="Calibri" w:hAnsi="Calibri"/>
                <w:sz w:val="22"/>
              </w:rPr>
              <w:t>May 1, 2026 (Q1 2026)</w:t>
            </w:r>
          </w:p>
        </w:tc>
      </w:tr>
      <w:tr>
        <w:tc>
          <w:tcPr>
            <w:tcW w:type="dxa" w:w="4320"/>
          </w:tcPr>
          <w:p>
            <w:r>
              <w:rPr>
                <w:rFonts w:ascii="Calibri" w:hAnsi="Calibri"/>
                <w:b/>
                <w:sz w:val="22"/>
              </w:rPr>
              <w:t>Prepared</w:t>
            </w:r>
          </w:p>
        </w:tc>
        <w:tc>
          <w:tcPr>
            <w:tcW w:type="dxa" w:w="4320"/>
          </w:tcPr>
          <w:p>
            <w:r>
              <w:rPr>
                <w:rFonts w:ascii="Calibri" w:hAnsi="Calibri"/>
                <w:sz w:val="22"/>
              </w:rPr>
              <w:t>July 30,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the bar is beatable on FRE and AUM, but the single biggest swing factor is whether Q2 realized performance income (pre-announced at &gt;$50M vs. $16M in Q2 2025) translates into a clean earnings beat after two consecutive misses.</w:t>
      </w:r>
    </w:p>
    <w:p>
      <w:r>
        <w:rPr>
          <w:rFonts w:ascii="Calibri" w:hAnsi="Calibri"/>
          <w:color w:val="525866"/>
          <w:sz w:val="22"/>
        </w:rPr>
        <w:t xml:space="preserve">Heading into the Q2 2026 print, consensus sits at </w:t>
      </w:r>
      <w:r>
        <w:rPr>
          <w:rFonts w:ascii="Calibri" w:hAnsi="Calibri"/>
          <w:b/>
          <w:color w:val="525866"/>
          <w:sz w:val="22"/>
        </w:rPr>
        <w:t>$0.858 in after-tax FRE per unit and $0.694 in after-tax realized income per share</w:t>
      </w:r>
      <w:r>
        <w:rPr>
          <w:rFonts w:ascii="Calibri" w:hAnsi="Calibri"/>
          <w:color w:val="525866"/>
          <w:sz w:val="22"/>
        </w:rPr>
        <w:t xml:space="preserve"> — both modestly below the Q4 2025 highs but above Q1 2026 actuals, implying a sequential recovery that management's own commentary supports. The bar on FRE looks achievable: FPAUM consensus of ~$414B reflects continued deployment of the firm's $158B+ dry powder, management fees crossed $1B for the first time in Q1 2026 and should step higher again in Q2, and the GCP digital infrastructure fund's first close (expected summer 2026) should begin contributing positively to FRE. The most important guidance shift since last earnings is the July 9, 2026 8-K, in which Ares pre-announced Q2 realized net performance income </w:t>
      </w:r>
      <w:r>
        <w:rPr>
          <w:rFonts w:ascii="Calibri" w:hAnsi="Calibri"/>
          <w:b/>
          <w:color w:val="525866"/>
          <w:sz w:val="22"/>
        </w:rPr>
        <w:t>in excess of $50M</w:t>
      </w:r>
      <w:r>
        <w:rPr>
          <w:rFonts w:ascii="Calibri" w:hAnsi="Calibri"/>
          <w:color w:val="525866"/>
          <w:sz w:val="22"/>
        </w:rPr>
        <w:t xml:space="preserve"> — more than triple the $16M reported in Q2 2025 — a meaningful positive signal that removes the biggest earnings uncertainty. Estimate revisions have drifted lower since last earnings (FRE per unit consensus fell from ~$0.852 to $0.859 post-Q1, then edged down to $0.859 currently), suggesting the street has not fully re-rated upward on the performance income pre-announcement, leaving room for a positive surprise. The stock is down ~6% since the May 1 earnings date (vs. KCE flat and SPY +3%), trading at roughly 18x NTM P/E — a discount to its recent range — meaning the multiple does not yet reflect a clean beat. The key wildcard is </w:t>
      </w:r>
      <w:r>
        <w:rPr>
          <w:rFonts w:ascii="Calibri" w:hAnsi="Calibri"/>
          <w:b/>
          <w:color w:val="525866"/>
          <w:sz w:val="22"/>
        </w:rPr>
        <w:t>wealth channel net flows</w:t>
      </w:r>
      <w:r>
        <w:rPr>
          <w:rFonts w:ascii="Calibri" w:hAnsi="Calibri"/>
          <w:color w:val="525866"/>
          <w:sz w:val="22"/>
        </w:rPr>
        <w:t>: Blue Owl (OWL, reporting same day) flagged a &gt;50% sequential increase in evergreen inflows for its July 1 close and declining redemption requests, which, if echoed by Ares, could be the catalyst that re-rates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on FRE (sequential recovery implied but not demanding) and a higher bar on realized income given the performance income pre-announcement. </w:t>
      </w:r>
      <w:r>
        <w:rPr>
          <w:rFonts w:ascii="Calibri" w:hAnsi="Calibri"/>
          <w:b/>
          <w:color w:val="525866"/>
          <w:sz w:val="22"/>
        </w:rPr>
        <w:t>FPAUM growth is the bigger swing factor</w:t>
      </w:r>
      <w:r>
        <w:rPr>
          <w:rFonts w:ascii="Calibri" w:hAnsi="Calibri"/>
          <w:color w:val="525866"/>
          <w:sz w:val="22"/>
        </w:rPr>
        <w:t xml:space="preserve"> — a beat here signals durable management fee acceleration into H2 2026.</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Signal</w:t>
            </w:r>
          </w:p>
        </w:tc>
        <w:tc>
          <w:tcPr>
            <w:tcW w:type="dxa" w:w="1234"/>
            <w:shd w:val="clear" w:color="auto" w:fill="3B4259"/>
          </w:tcPr>
          <w:p>
            <w:r>
              <w:rPr>
                <w:rFonts w:ascii="Calibri" w:hAnsi="Calibri"/>
                <w:b/>
                <w:color w:val="FFFFFF"/>
                <w:sz w:val="22"/>
              </w:rPr>
              <w:t>Consensus vs. Guidance (%Δ)</w:t>
            </w:r>
          </w:p>
        </w:tc>
      </w:tr>
      <w:tr>
        <w:tc>
          <w:tcPr>
            <w:tcW w:type="dxa" w:w="1234"/>
          </w:tcPr>
          <w:p>
            <w:r>
              <w:rPr>
                <w:rFonts w:ascii="Calibri" w:hAnsi="Calibri"/>
                <w:sz w:val="22"/>
              </w:rPr>
              <w:t>After-Tax FRE per Unit ($)</w:t>
            </w:r>
          </w:p>
        </w:tc>
        <w:tc>
          <w:tcPr>
            <w:tcW w:type="dxa" w:w="1234"/>
          </w:tcPr>
          <w:p>
            <w:r>
              <w:rPr>
                <w:rFonts w:ascii="Calibri" w:hAnsi="Calibri"/>
                <w:sz w:val="22"/>
              </w:rPr>
              <w:t>$0.756</w:t>
            </w:r>
          </w:p>
        </w:tc>
        <w:tc>
          <w:tcPr>
            <w:tcW w:type="dxa" w:w="1234"/>
          </w:tcPr>
          <w:p>
            <w:r>
              <w:rPr>
                <w:rFonts w:ascii="Calibri" w:hAnsi="Calibri"/>
                <w:sz w:val="22"/>
              </w:rPr>
              <w:t>$0.648</w:t>
            </w:r>
          </w:p>
        </w:tc>
        <w:tc>
          <w:tcPr>
            <w:tcW w:type="dxa" w:w="1234"/>
          </w:tcPr>
          <w:p>
            <w:r>
              <w:rPr>
                <w:rFonts w:ascii="Calibri" w:hAnsi="Calibri"/>
                <w:sz w:val="22"/>
              </w:rPr>
              <w:t>$0.859</w:t>
            </w:r>
          </w:p>
        </w:tc>
        <w:tc>
          <w:tcPr>
            <w:tcW w:type="dxa" w:w="1234"/>
          </w:tcPr>
          <w:p>
            <w:r>
              <w:rPr>
                <w:rFonts w:ascii="Calibri" w:hAnsi="Calibri"/>
                <w:sz w:val="22"/>
              </w:rPr>
              <w:t>+32.6% YoY</w:t>
            </w:r>
          </w:p>
        </w:tc>
        <w:tc>
          <w:tcPr>
            <w:tcW w:type="dxa" w:w="1234"/>
          </w:tcPr>
          <w:p>
            <w:r>
              <w:rPr>
                <w:rFonts w:ascii="Calibri" w:hAnsi="Calibri"/>
                <w:sz w:val="22"/>
              </w:rPr>
              <w:t>High end of 0–150 bps annual margin expansion; GCP digital infra fund first close expected summer 2026</w:t>
            </w:r>
          </w:p>
        </w:tc>
        <w:tc>
          <w:tcPr>
            <w:tcW w:type="dxa" w:w="1234"/>
          </w:tcPr>
          <w:p>
            <w:r>
              <w:rPr>
                <w:rFonts w:ascii="Calibri" w:hAnsi="Calibri"/>
                <w:sz w:val="22"/>
              </w:rPr>
              <w:t>Consensus implies ~42–43% FRE margin; consistent with guidance</w:t>
            </w:r>
          </w:p>
        </w:tc>
      </w:tr>
      <w:tr>
        <w:tc>
          <w:tcPr>
            <w:tcW w:type="dxa" w:w="1234"/>
          </w:tcPr>
          <w:p>
            <w:r>
              <w:rPr>
                <w:rFonts w:ascii="Calibri" w:hAnsi="Calibri"/>
                <w:sz w:val="22"/>
              </w:rPr>
              <w:t>After-Tax Realized Income per Share ($)</w:t>
            </w:r>
          </w:p>
        </w:tc>
        <w:tc>
          <w:tcPr>
            <w:tcW w:type="dxa" w:w="1234"/>
          </w:tcPr>
          <w:p>
            <w:r>
              <w:rPr>
                <w:rFonts w:ascii="Calibri" w:hAnsi="Calibri"/>
                <w:sz w:val="22"/>
              </w:rPr>
              <w:t>$0.401</w:t>
            </w:r>
          </w:p>
        </w:tc>
        <w:tc>
          <w:tcPr>
            <w:tcW w:type="dxa" w:w="1234"/>
          </w:tcPr>
          <w:p>
            <w:r>
              <w:rPr>
                <w:rFonts w:ascii="Calibri" w:hAnsi="Calibri"/>
                <w:sz w:val="22"/>
              </w:rPr>
              <w:t>$0.558</w:t>
            </w:r>
          </w:p>
        </w:tc>
        <w:tc>
          <w:tcPr>
            <w:tcW w:type="dxa" w:w="1234"/>
          </w:tcPr>
          <w:p>
            <w:r>
              <w:rPr>
                <w:rFonts w:ascii="Calibri" w:hAnsi="Calibri"/>
                <w:sz w:val="22"/>
              </w:rPr>
              <w:t>$0.694</w:t>
            </w:r>
          </w:p>
        </w:tc>
        <w:tc>
          <w:tcPr>
            <w:tcW w:type="dxa" w:w="1234"/>
          </w:tcPr>
          <w:p>
            <w:r>
              <w:rPr>
                <w:rFonts w:ascii="Calibri" w:hAnsi="Calibri"/>
                <w:sz w:val="22"/>
              </w:rPr>
              <w:t>+24.4% YoY</w:t>
            </w:r>
          </w:p>
        </w:tc>
        <w:tc>
          <w:tcPr>
            <w:tcW w:type="dxa" w:w="1234"/>
          </w:tcPr>
          <w:p>
            <w:r>
              <w:rPr>
                <w:rFonts w:ascii="Calibri" w:hAnsi="Calibri"/>
                <w:sz w:val="22"/>
              </w:rPr>
              <w:t>July 9, 2026 8-K: realized net performance income &gt;$50M in Q2 2026 (vs. $16M in Q2 2025)</w:t>
            </w:r>
          </w:p>
        </w:tc>
        <w:tc>
          <w:tcPr>
            <w:tcW w:type="dxa" w:w="1234"/>
          </w:tcPr>
          <w:p>
            <w:r>
              <w:rPr>
                <w:rFonts w:ascii="Calibri" w:hAnsi="Calibri"/>
                <w:sz w:val="22"/>
              </w:rPr>
              <w:t>Pre-announcement implies upside risk to consensus</w:t>
            </w:r>
          </w:p>
        </w:tc>
      </w:tr>
      <w:tr>
        <w:tc>
          <w:tcPr>
            <w:tcW w:type="dxa" w:w="1234"/>
          </w:tcPr>
          <w:p>
            <w:r>
              <w:rPr>
                <w:rFonts w:ascii="Calibri" w:hAnsi="Calibri"/>
                <w:sz w:val="22"/>
              </w:rPr>
              <w:t>FPAUM ($B)</w:t>
            </w:r>
          </w:p>
        </w:tc>
        <w:tc>
          <w:tcPr>
            <w:tcW w:type="dxa" w:w="1234"/>
          </w:tcPr>
          <w:p>
            <w:r>
              <w:rPr>
                <w:rFonts w:ascii="Calibri" w:hAnsi="Calibri"/>
                <w:sz w:val="22"/>
              </w:rPr>
              <w:t>$399.6B</w:t>
            </w:r>
          </w:p>
        </w:tc>
        <w:tc>
          <w:tcPr>
            <w:tcW w:type="dxa" w:w="1234"/>
          </w:tcPr>
          <w:p>
            <w:r>
              <w:rPr>
                <w:rFonts w:ascii="Calibri" w:hAnsi="Calibri"/>
                <w:sz w:val="22"/>
              </w:rPr>
              <w:t>$275.8B</w:t>
            </w:r>
          </w:p>
        </w:tc>
        <w:tc>
          <w:tcPr>
            <w:tcW w:type="dxa" w:w="1234"/>
          </w:tcPr>
          <w:p>
            <w:r>
              <w:rPr>
                <w:rFonts w:ascii="Calibri" w:hAnsi="Calibri"/>
                <w:sz w:val="22"/>
              </w:rPr>
              <w:t>$414.2B</w:t>
            </w:r>
          </w:p>
        </w:tc>
        <w:tc>
          <w:tcPr>
            <w:tcW w:type="dxa" w:w="1234"/>
          </w:tcPr>
          <w:p>
            <w:r>
              <w:rPr>
                <w:rFonts w:ascii="Calibri" w:hAnsi="Calibri"/>
                <w:sz w:val="22"/>
              </w:rPr>
              <w:t>+50.2% YoY</w:t>
            </w:r>
          </w:p>
        </w:tc>
        <w:tc>
          <w:tcPr>
            <w:tcW w:type="dxa" w:w="1234"/>
          </w:tcPr>
          <w:p>
            <w:r>
              <w:rPr>
                <w:rFonts w:ascii="Calibri" w:hAnsi="Calibri"/>
                <w:sz w:val="22"/>
              </w:rPr>
              <w:t>Record dry powder &gt;$158B; deployment pipeline at record levels; digital infra fund first close adds committed capital</w:t>
            </w:r>
          </w:p>
        </w:tc>
        <w:tc>
          <w:tcPr>
            <w:tcW w:type="dxa" w:w="1234"/>
          </w:tcPr>
          <w:p>
            <w:r>
              <w:rPr>
                <w:rFonts w:ascii="Calibri" w:hAnsi="Calibri"/>
                <w:sz w:val="22"/>
              </w:rPr>
              <w:t>Consensus ~$414B; in line with deployment trajectory</w:t>
            </w:r>
          </w:p>
        </w:tc>
      </w:tr>
      <w:tr>
        <w:tc>
          <w:tcPr>
            <w:tcW w:type="dxa" w:w="1234"/>
          </w:tcPr>
          <w:p>
            <w:r>
              <w:rPr>
                <w:rFonts w:ascii="Calibri" w:hAnsi="Calibri"/>
                <w:sz w:val="22"/>
              </w:rPr>
              <w:t>Total AUM ($B)</w:t>
            </w:r>
          </w:p>
        </w:tc>
        <w:tc>
          <w:tcPr>
            <w:tcW w:type="dxa" w:w="1234"/>
          </w:tcPr>
          <w:p>
            <w:r>
              <w:rPr>
                <w:rFonts w:ascii="Calibri" w:hAnsi="Calibri"/>
                <w:sz w:val="22"/>
              </w:rPr>
              <w:t>$644.3B</w:t>
            </w:r>
          </w:p>
        </w:tc>
        <w:tc>
          <w:tcPr>
            <w:tcW w:type="dxa" w:w="1234"/>
          </w:tcPr>
          <w:p>
            <w:r>
              <w:rPr>
                <w:rFonts w:ascii="Calibri" w:hAnsi="Calibri"/>
                <w:sz w:val="22"/>
              </w:rPr>
              <w:t>$447.2B</w:t>
            </w:r>
          </w:p>
        </w:tc>
        <w:tc>
          <w:tcPr>
            <w:tcW w:type="dxa" w:w="1234"/>
          </w:tcPr>
          <w:p>
            <w:r>
              <w:rPr>
                <w:rFonts w:ascii="Calibri" w:hAnsi="Calibri"/>
                <w:sz w:val="22"/>
              </w:rPr>
              <w:t>$666.6B</w:t>
            </w:r>
          </w:p>
        </w:tc>
        <w:tc>
          <w:tcPr>
            <w:tcW w:type="dxa" w:w="1234"/>
          </w:tcPr>
          <w:p>
            <w:r>
              <w:rPr>
                <w:rFonts w:ascii="Calibri" w:hAnsi="Calibri"/>
                <w:sz w:val="22"/>
              </w:rPr>
              <w:t>+49.1% YoY</w:t>
            </w:r>
          </w:p>
        </w:tc>
        <w:tc>
          <w:tcPr>
            <w:tcW w:type="dxa" w:w="1234"/>
          </w:tcPr>
          <w:p>
            <w:r>
              <w:rPr>
                <w:rFonts w:ascii="Calibri" w:hAnsi="Calibri"/>
                <w:sz w:val="22"/>
              </w:rPr>
              <w:t>Record Q1 2026 fundraising ($30B); pipeline at record levels; 2028 target of $125B annual fundraising reaffirmed</w:t>
            </w:r>
          </w:p>
        </w:tc>
        <w:tc>
          <w:tcPr>
            <w:tcW w:type="dxa" w:w="1234"/>
          </w:tcPr>
          <w:p>
            <w:r>
              <w:rPr>
                <w:rFonts w:ascii="Calibri" w:hAnsi="Calibri"/>
                <w:sz w:val="22"/>
              </w:rPr>
              <w:t>Consensus ~$667B; consistent with management trajectory</w:t>
            </w:r>
          </w:p>
        </w:tc>
      </w:tr>
      <w:tr>
        <w:tc>
          <w:tcPr>
            <w:tcW w:type="dxa" w:w="1234"/>
          </w:tcPr>
          <w:p>
            <w:r>
              <w:rPr>
                <w:rFonts w:ascii="Calibri" w:hAnsi="Calibri"/>
                <w:sz w:val="22"/>
              </w:rPr>
              <w:t>Capital Deployment ($B)</w:t>
            </w:r>
          </w:p>
        </w:tc>
        <w:tc>
          <w:tcPr>
            <w:tcW w:type="dxa" w:w="1234"/>
          </w:tcPr>
          <w:p>
            <w:r>
              <w:rPr>
                <w:rFonts w:ascii="Calibri" w:hAnsi="Calibri"/>
                <w:sz w:val="22"/>
              </w:rPr>
              <w:t>$32.3B</w:t>
            </w:r>
          </w:p>
        </w:tc>
        <w:tc>
          <w:tcPr>
            <w:tcW w:type="dxa" w:w="1234"/>
          </w:tcPr>
          <w:p>
            <w:r>
              <w:rPr>
                <w:rFonts w:ascii="Calibri" w:hAnsi="Calibri"/>
                <w:sz w:val="22"/>
              </w:rPr>
              <w:t>$24.5B</w:t>
            </w:r>
          </w:p>
        </w:tc>
        <w:tc>
          <w:tcPr>
            <w:tcW w:type="dxa" w:w="1234"/>
          </w:tcPr>
          <w:p>
            <w:r>
              <w:rPr>
                <w:rFonts w:ascii="Calibri" w:hAnsi="Calibri"/>
                <w:sz w:val="22"/>
              </w:rPr>
              <w:t>$33.9B</w:t>
            </w:r>
          </w:p>
        </w:tc>
        <w:tc>
          <w:tcPr>
            <w:tcW w:type="dxa" w:w="1234"/>
          </w:tcPr>
          <w:p>
            <w:r>
              <w:rPr>
                <w:rFonts w:ascii="Calibri" w:hAnsi="Calibri"/>
                <w:sz w:val="22"/>
              </w:rPr>
              <w:t>+38.4% YoY</w:t>
            </w:r>
          </w:p>
        </w:tc>
        <w:tc>
          <w:tcPr>
            <w:tcW w:type="dxa" w:w="1234"/>
          </w:tcPr>
          <w:p>
            <w:r>
              <w:rPr>
                <w:rFonts w:ascii="Calibri" w:hAnsi="Calibri"/>
                <w:sz w:val="22"/>
              </w:rPr>
              <w:t>Back-half acceleration expected in US direct lending; European DL, ABF, digital infra, secondaries most active in Q2</w:t>
            </w:r>
          </w:p>
        </w:tc>
        <w:tc>
          <w:tcPr>
            <w:tcW w:type="dxa" w:w="1234"/>
          </w:tcPr>
          <w:p>
            <w:r>
              <w:rPr>
                <w:rFonts w:ascii="Calibri" w:hAnsi="Calibri"/>
                <w:sz w:val="22"/>
              </w:rPr>
              <w:t>Consensus ~$33.9B; modest sequential step-up from Q1</w:t>
            </w:r>
          </w:p>
        </w:tc>
      </w:tr>
    </w:tbl>
    <w:p>
      <w:r>
        <w:rPr>
          <w:rFonts w:ascii="Calibri" w:hAnsi="Calibri"/>
          <w:b/>
          <w:color w:val="525866"/>
          <w:sz w:val="22"/>
        </w:rPr>
        <w:t xml:space="preserve">Sources: </w:t>
      </w:r>
      <w:r>
        <w:rPr>
          <w:rFonts w:ascii="Calibri" w:hAnsi="Calibri"/>
          <w:color w:val="525866"/>
          <w:sz w:val="22"/>
        </w:rPr>
        <w:t>Visible Alpha Consensus and Actuals Data (ARES US). All consensus figures as of July 30, 2026. Actuals from Q1 2026 and Q2 2025 reported periods. July 9, 2026 8-K (performance income pre-announcement) filed by Ares Management Corporation.</w:t>
      </w:r>
    </w:p>
    <w:p>
      <w:pPr>
        <w:pStyle w:val="Heading3"/>
      </w:pPr>
      <w:r>
        <w:rPr>
          <w:rFonts w:ascii="Calibri" w:hAnsi="Calibri"/>
          <w:b/>
          <w:color w:val="3B4259"/>
          <w:sz w:val="24"/>
        </w:rPr>
        <w:t>Table 2 — Beat/Miss History: Last 8 Quarters</w:t>
      </w:r>
    </w:p>
    <w:p>
      <w:r>
        <w:rPr>
          <w:rFonts w:ascii="Calibri" w:hAnsi="Calibri"/>
          <w:color w:val="525866"/>
          <w:sz w:val="22"/>
        </w:rPr>
        <w:t>Top 2 KPIs: After-Tax FRE per Unit and After-Tax Realized Income per Share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2024</w:t>
            </w:r>
          </w:p>
        </w:tc>
        <w:tc>
          <w:tcPr>
            <w:tcW w:type="dxa" w:w="1440"/>
          </w:tcPr>
          <w:p>
            <w:r>
              <w:rPr>
                <w:rFonts w:ascii="Calibri" w:hAnsi="Calibri"/>
                <w:sz w:val="22"/>
              </w:rPr>
              <w:t>FRE/Unit</w:t>
            </w:r>
          </w:p>
        </w:tc>
        <w:tc>
          <w:tcPr>
            <w:tcW w:type="dxa" w:w="1440"/>
          </w:tcPr>
          <w:p>
            <w:r>
              <w:rPr>
                <w:rFonts w:ascii="Calibri" w:hAnsi="Calibri"/>
                <w:sz w:val="22"/>
              </w:rPr>
              <w:t>$0.694</w:t>
            </w:r>
          </w:p>
        </w:tc>
        <w:tc>
          <w:tcPr>
            <w:tcW w:type="dxa" w:w="1440"/>
          </w:tcPr>
          <w:p>
            <w:r>
              <w:rPr>
                <w:rFonts w:ascii="Calibri" w:hAnsi="Calibri"/>
                <w:sz w:val="22"/>
              </w:rPr>
              <w:t>$0.711</w:t>
            </w:r>
          </w:p>
        </w:tc>
        <w:tc>
          <w:tcPr>
            <w:tcW w:type="dxa" w:w="1440"/>
          </w:tcPr>
          <w:p>
            <w:r>
              <w:rPr>
                <w:rFonts w:ascii="Calibri" w:hAnsi="Calibri"/>
                <w:b/>
                <w:color w:val="E5484D"/>
                <w:sz w:val="22"/>
              </w:rPr>
              <w:t>-2.4%</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Realized Income/Share</w:t>
            </w:r>
          </w:p>
        </w:tc>
        <w:tc>
          <w:tcPr>
            <w:tcW w:type="dxa" w:w="1440"/>
          </w:tcPr>
          <w:p>
            <w:r>
              <w:rPr>
                <w:rFonts w:ascii="Calibri" w:hAnsi="Calibri"/>
                <w:sz w:val="22"/>
              </w:rPr>
              <w:t>$0.539</w:t>
            </w:r>
          </w:p>
        </w:tc>
        <w:tc>
          <w:tcPr>
            <w:tcW w:type="dxa" w:w="1440"/>
          </w:tcPr>
          <w:p>
            <w:r>
              <w:rPr>
                <w:rFonts w:ascii="Calibri" w:hAnsi="Calibri"/>
                <w:sz w:val="22"/>
              </w:rPr>
              <w:t>$0.534</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FRE/Unit</w:t>
            </w:r>
          </w:p>
        </w:tc>
        <w:tc>
          <w:tcPr>
            <w:tcW w:type="dxa" w:w="1440"/>
          </w:tcPr>
          <w:p>
            <w:r>
              <w:rPr>
                <w:rFonts w:ascii="Calibri" w:hAnsi="Calibri"/>
                <w:sz w:val="22"/>
              </w:rPr>
              <w:t>$0.816</w:t>
            </w:r>
          </w:p>
        </w:tc>
        <w:tc>
          <w:tcPr>
            <w:tcW w:type="dxa" w:w="1440"/>
          </w:tcPr>
          <w:p>
            <w:r>
              <w:rPr>
                <w:rFonts w:ascii="Calibri" w:hAnsi="Calibri"/>
                <w:sz w:val="22"/>
              </w:rPr>
              <w:t>$0.843</w:t>
            </w:r>
          </w:p>
        </w:tc>
        <w:tc>
          <w:tcPr>
            <w:tcW w:type="dxa" w:w="1440"/>
          </w:tcPr>
          <w:p>
            <w:r>
              <w:rPr>
                <w:rFonts w:ascii="Calibri" w:hAnsi="Calibri"/>
                <w:b/>
                <w:color w:val="E5484D"/>
                <w:sz w:val="22"/>
              </w:rPr>
              <w:t>-3.2%</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Realized Income/Share</w:t>
            </w:r>
          </w:p>
        </w:tc>
        <w:tc>
          <w:tcPr>
            <w:tcW w:type="dxa" w:w="1440"/>
          </w:tcPr>
          <w:p>
            <w:r>
              <w:rPr>
                <w:rFonts w:ascii="Calibri" w:hAnsi="Calibri"/>
                <w:sz w:val="22"/>
              </w:rPr>
              <w:t>$0.830</w:t>
            </w:r>
          </w:p>
        </w:tc>
        <w:tc>
          <w:tcPr>
            <w:tcW w:type="dxa" w:w="1440"/>
          </w:tcPr>
          <w:p>
            <w:r>
              <w:rPr>
                <w:rFonts w:ascii="Calibri" w:hAnsi="Calibri"/>
                <w:sz w:val="22"/>
              </w:rPr>
              <w:t>$0.938</w:t>
            </w:r>
          </w:p>
        </w:tc>
        <w:tc>
          <w:tcPr>
            <w:tcW w:type="dxa" w:w="1440"/>
          </w:tcPr>
          <w:p>
            <w:r>
              <w:rPr>
                <w:rFonts w:ascii="Calibri" w:hAnsi="Calibri"/>
                <w:b/>
                <w:color w:val="E5484D"/>
                <w:sz w:val="22"/>
              </w:rPr>
              <w:t>-11.5%</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FRE/Unit</w:t>
            </w:r>
          </w:p>
        </w:tc>
        <w:tc>
          <w:tcPr>
            <w:tcW w:type="dxa" w:w="1440"/>
          </w:tcPr>
          <w:p>
            <w:r>
              <w:rPr>
                <w:rFonts w:ascii="Calibri" w:hAnsi="Calibri"/>
                <w:sz w:val="22"/>
              </w:rPr>
              <w:t>$0.602</w:t>
            </w:r>
          </w:p>
        </w:tc>
        <w:tc>
          <w:tcPr>
            <w:tcW w:type="dxa" w:w="1440"/>
          </w:tcPr>
          <w:p>
            <w:r>
              <w:rPr>
                <w:rFonts w:ascii="Calibri" w:hAnsi="Calibri"/>
                <w:sz w:val="22"/>
              </w:rPr>
              <w:t>$0.616</w:t>
            </w:r>
          </w:p>
        </w:tc>
        <w:tc>
          <w:tcPr>
            <w:tcW w:type="dxa" w:w="1440"/>
          </w:tcPr>
          <w:p>
            <w:r>
              <w:rPr>
                <w:rFonts w:ascii="Calibri" w:hAnsi="Calibri"/>
                <w:b/>
                <w:color w:val="E5484D"/>
                <w:sz w:val="22"/>
              </w:rPr>
              <w:t>-2.3%</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Realized Income/Share</w:t>
            </w:r>
          </w:p>
        </w:tc>
        <w:tc>
          <w:tcPr>
            <w:tcW w:type="dxa" w:w="1440"/>
          </w:tcPr>
          <w:p>
            <w:r>
              <w:rPr>
                <w:rFonts w:ascii="Calibri" w:hAnsi="Calibri"/>
                <w:sz w:val="22"/>
              </w:rPr>
              <w:t>-$0.051</w:t>
            </w:r>
          </w:p>
        </w:tc>
        <w:tc>
          <w:tcPr>
            <w:tcW w:type="dxa" w:w="1440"/>
          </w:tcPr>
          <w:p>
            <w:r>
              <w:rPr>
                <w:rFonts w:ascii="Calibri" w:hAnsi="Calibri"/>
                <w:sz w:val="22"/>
              </w:rPr>
              <w:t>$0.539</w:t>
            </w:r>
          </w:p>
        </w:tc>
        <w:tc>
          <w:tcPr>
            <w:tcW w:type="dxa" w:w="1440"/>
          </w:tcPr>
          <w:p>
            <w:r>
              <w:rPr>
                <w:rFonts w:ascii="Calibri" w:hAnsi="Calibri"/>
                <w:b/>
                <w:color w:val="E5484D"/>
                <w:sz w:val="22"/>
              </w:rPr>
              <w:t>N/M</w:t>
            </w:r>
          </w:p>
        </w:tc>
        <w:tc>
          <w:tcPr>
            <w:tcW w:type="dxa" w:w="1440"/>
          </w:tcPr>
          <w:p>
            <w:r>
              <w:rPr>
                <w:rFonts w:ascii="Calibri" w:hAnsi="Calibri"/>
                <w:sz w:val="22"/>
              </w:rPr>
              <w:t>Large Miss</w:t>
            </w:r>
          </w:p>
        </w:tc>
      </w:tr>
      <w:tr>
        <w:tc>
          <w:tcPr>
            <w:tcW w:type="dxa" w:w="1440"/>
          </w:tcPr>
          <w:p>
            <w:r>
              <w:rPr>
                <w:rFonts w:ascii="Calibri" w:hAnsi="Calibri"/>
                <w:sz w:val="22"/>
              </w:rPr>
              <w:t>Q2 2025</w:t>
            </w:r>
          </w:p>
        </w:tc>
        <w:tc>
          <w:tcPr>
            <w:tcW w:type="dxa" w:w="1440"/>
          </w:tcPr>
          <w:p>
            <w:r>
              <w:rPr>
                <w:rFonts w:ascii="Calibri" w:hAnsi="Calibri"/>
                <w:sz w:val="22"/>
              </w:rPr>
              <w:t>FRE/Unit</w:t>
            </w:r>
          </w:p>
        </w:tc>
        <w:tc>
          <w:tcPr>
            <w:tcW w:type="dxa" w:w="1440"/>
          </w:tcPr>
          <w:p>
            <w:r>
              <w:rPr>
                <w:rFonts w:ascii="Calibri" w:hAnsi="Calibri"/>
                <w:sz w:val="22"/>
              </w:rPr>
              <w:t>$0.730</w:t>
            </w:r>
          </w:p>
        </w:tc>
        <w:tc>
          <w:tcPr>
            <w:tcW w:type="dxa" w:w="1440"/>
          </w:tcPr>
          <w:p>
            <w:r>
              <w:rPr>
                <w:rFonts w:ascii="Calibri" w:hAnsi="Calibri"/>
                <w:sz w:val="22"/>
              </w:rPr>
              <w:t>$0.608</w:t>
            </w:r>
          </w:p>
        </w:tc>
        <w:tc>
          <w:tcPr>
            <w:tcW w:type="dxa" w:w="1440"/>
          </w:tcPr>
          <w:p>
            <w:r>
              <w:rPr>
                <w:rFonts w:ascii="Calibri" w:hAnsi="Calibri"/>
                <w:b/>
                <w:color w:val="30A46C"/>
                <w:sz w:val="22"/>
              </w:rPr>
              <w:t>+20.0%</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Realized Income/Share</w:t>
            </w:r>
          </w:p>
        </w:tc>
        <w:tc>
          <w:tcPr>
            <w:tcW w:type="dxa" w:w="1440"/>
          </w:tcPr>
          <w:p>
            <w:r>
              <w:rPr>
                <w:rFonts w:ascii="Calibri" w:hAnsi="Calibri"/>
                <w:sz w:val="22"/>
              </w:rPr>
              <w:t>$0.338</w:t>
            </w:r>
          </w:p>
        </w:tc>
        <w:tc>
          <w:tcPr>
            <w:tcW w:type="dxa" w:w="1440"/>
          </w:tcPr>
          <w:p>
            <w:r>
              <w:rPr>
                <w:rFonts w:ascii="Calibri" w:hAnsi="Calibri"/>
                <w:sz w:val="22"/>
              </w:rPr>
              <w:t>$0.631</w:t>
            </w:r>
          </w:p>
        </w:tc>
        <w:tc>
          <w:tcPr>
            <w:tcW w:type="dxa" w:w="1440"/>
          </w:tcPr>
          <w:p>
            <w:r>
              <w:rPr>
                <w:rFonts w:ascii="Calibri" w:hAnsi="Calibri"/>
                <w:b/>
                <w:color w:val="E5484D"/>
                <w:sz w:val="22"/>
              </w:rPr>
              <w:t>-46.4%</w:t>
            </w:r>
          </w:p>
        </w:tc>
        <w:tc>
          <w:tcPr>
            <w:tcW w:type="dxa" w:w="1440"/>
          </w:tcPr>
          <w:p>
            <w:r>
              <w:rPr>
                <w:rFonts w:ascii="Calibri" w:hAnsi="Calibri"/>
                <w:sz w:val="22"/>
              </w:rPr>
              <w:t>Large Miss</w:t>
            </w:r>
          </w:p>
        </w:tc>
      </w:tr>
      <w:tr>
        <w:tc>
          <w:tcPr>
            <w:tcW w:type="dxa" w:w="1440"/>
          </w:tcPr>
          <w:p>
            <w:r>
              <w:rPr>
                <w:rFonts w:ascii="Calibri" w:hAnsi="Calibri"/>
                <w:sz w:val="22"/>
              </w:rPr>
              <w:t>Q3 2025</w:t>
            </w:r>
          </w:p>
        </w:tc>
        <w:tc>
          <w:tcPr>
            <w:tcW w:type="dxa" w:w="1440"/>
          </w:tcPr>
          <w:p>
            <w:r>
              <w:rPr>
                <w:rFonts w:ascii="Calibri" w:hAnsi="Calibri"/>
                <w:sz w:val="22"/>
              </w:rPr>
              <w:t>FRE/Unit</w:t>
            </w:r>
          </w:p>
        </w:tc>
        <w:tc>
          <w:tcPr>
            <w:tcW w:type="dxa" w:w="1440"/>
          </w:tcPr>
          <w:p>
            <w:r>
              <w:rPr>
                <w:rFonts w:ascii="Calibri" w:hAnsi="Calibri"/>
                <w:sz w:val="22"/>
              </w:rPr>
              <w:t>$0.885</w:t>
            </w:r>
          </w:p>
        </w:tc>
        <w:tc>
          <w:tcPr>
            <w:tcW w:type="dxa" w:w="1440"/>
          </w:tcPr>
          <w:p>
            <w:r>
              <w:rPr>
                <w:rFonts w:ascii="Calibri" w:hAnsi="Calibri"/>
                <w:sz w:val="22"/>
              </w:rPr>
              <w:t>$0.800</w:t>
            </w:r>
          </w:p>
        </w:tc>
        <w:tc>
          <w:tcPr>
            <w:tcW w:type="dxa" w:w="1440"/>
          </w:tcPr>
          <w:p>
            <w:r>
              <w:rPr>
                <w:rFonts w:ascii="Calibri" w:hAnsi="Calibri"/>
                <w:b/>
                <w:color w:val="30A46C"/>
                <w:sz w:val="22"/>
              </w:rPr>
              <w:t>+10.6%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Realized Income/Share</w:t>
            </w:r>
          </w:p>
        </w:tc>
        <w:tc>
          <w:tcPr>
            <w:tcW w:type="dxa" w:w="1440"/>
          </w:tcPr>
          <w:p>
            <w:r>
              <w:rPr>
                <w:rFonts w:ascii="Calibri" w:hAnsi="Calibri"/>
                <w:sz w:val="22"/>
              </w:rPr>
              <w:t>$0.522</w:t>
            </w:r>
          </w:p>
        </w:tc>
        <w:tc>
          <w:tcPr>
            <w:tcW w:type="dxa" w:w="1440"/>
          </w:tcPr>
          <w:p>
            <w:r>
              <w:rPr>
                <w:rFonts w:ascii="Calibri" w:hAnsi="Calibri"/>
                <w:sz w:val="22"/>
              </w:rPr>
              <w:t>$0.699</w:t>
            </w:r>
          </w:p>
        </w:tc>
        <w:tc>
          <w:tcPr>
            <w:tcW w:type="dxa" w:w="1440"/>
          </w:tcPr>
          <w:p>
            <w:r>
              <w:rPr>
                <w:rFonts w:ascii="Calibri" w:hAnsi="Calibri"/>
                <w:b/>
                <w:color w:val="E5484D"/>
                <w:sz w:val="22"/>
              </w:rPr>
              <w:t>-25.3%</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FRE/Unit</w:t>
            </w:r>
          </w:p>
        </w:tc>
        <w:tc>
          <w:tcPr>
            <w:tcW w:type="dxa" w:w="1440"/>
          </w:tcPr>
          <w:p>
            <w:r>
              <w:rPr>
                <w:rFonts w:ascii="Calibri" w:hAnsi="Calibri"/>
                <w:sz w:val="22"/>
              </w:rPr>
              <w:t>$1.026</w:t>
            </w:r>
          </w:p>
        </w:tc>
        <w:tc>
          <w:tcPr>
            <w:tcW w:type="dxa" w:w="1440"/>
          </w:tcPr>
          <w:p>
            <w:r>
              <w:rPr>
                <w:rFonts w:ascii="Calibri" w:hAnsi="Calibri"/>
                <w:sz w:val="22"/>
              </w:rPr>
              <w:t>$0.964</w:t>
            </w:r>
          </w:p>
        </w:tc>
        <w:tc>
          <w:tcPr>
            <w:tcW w:type="dxa" w:w="1440"/>
          </w:tcPr>
          <w:p>
            <w:r>
              <w:rPr>
                <w:rFonts w:ascii="Calibri" w:hAnsi="Calibri"/>
                <w:b/>
                <w:color w:val="30A46C"/>
                <w:sz w:val="22"/>
              </w:rPr>
              <w:t>+6.4%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Realized Income/Share</w:t>
            </w:r>
          </w:p>
        </w:tc>
        <w:tc>
          <w:tcPr>
            <w:tcW w:type="dxa" w:w="1440"/>
          </w:tcPr>
          <w:p>
            <w:r>
              <w:rPr>
                <w:rFonts w:ascii="Calibri" w:hAnsi="Calibri"/>
                <w:sz w:val="22"/>
              </w:rPr>
              <w:t>$0.801</w:t>
            </w:r>
          </w:p>
        </w:tc>
        <w:tc>
          <w:tcPr>
            <w:tcW w:type="dxa" w:w="1440"/>
          </w:tcPr>
          <w:p>
            <w:r>
              <w:rPr>
                <w:rFonts w:ascii="Calibri" w:hAnsi="Calibri"/>
                <w:sz w:val="22"/>
              </w:rPr>
              <w:t>$1.178</w:t>
            </w:r>
          </w:p>
        </w:tc>
        <w:tc>
          <w:tcPr>
            <w:tcW w:type="dxa" w:w="1440"/>
          </w:tcPr>
          <w:p>
            <w:r>
              <w:rPr>
                <w:rFonts w:ascii="Calibri" w:hAnsi="Calibri"/>
                <w:b/>
                <w:color w:val="E5484D"/>
                <w:sz w:val="22"/>
              </w:rPr>
              <w:t>-32.0%</w:t>
            </w:r>
          </w:p>
        </w:tc>
        <w:tc>
          <w:tcPr>
            <w:tcW w:type="dxa" w:w="1440"/>
          </w:tcPr>
          <w:p>
            <w:r>
              <w:rPr>
                <w:rFonts w:ascii="Calibri" w:hAnsi="Calibri"/>
                <w:sz w:val="22"/>
              </w:rPr>
              <w:t>Large Miss</w:t>
            </w:r>
          </w:p>
        </w:tc>
      </w:tr>
      <w:tr>
        <w:tc>
          <w:tcPr>
            <w:tcW w:type="dxa" w:w="1440"/>
          </w:tcPr>
          <w:p>
            <w:r>
              <w:rPr>
                <w:rFonts w:ascii="Calibri" w:hAnsi="Calibri"/>
                <w:sz w:val="22"/>
              </w:rPr>
              <w:t>Q1 2026</w:t>
            </w:r>
          </w:p>
        </w:tc>
        <w:tc>
          <w:tcPr>
            <w:tcW w:type="dxa" w:w="1440"/>
          </w:tcPr>
          <w:p>
            <w:r>
              <w:rPr>
                <w:rFonts w:ascii="Calibri" w:hAnsi="Calibri"/>
                <w:sz w:val="22"/>
              </w:rPr>
              <w:t>FRE/Unit</w:t>
            </w:r>
          </w:p>
        </w:tc>
        <w:tc>
          <w:tcPr>
            <w:tcW w:type="dxa" w:w="1440"/>
          </w:tcPr>
          <w:p>
            <w:r>
              <w:rPr>
                <w:rFonts w:ascii="Calibri" w:hAnsi="Calibri"/>
                <w:sz w:val="22"/>
              </w:rPr>
              <w:t>$0.756</w:t>
            </w:r>
          </w:p>
        </w:tc>
        <w:tc>
          <w:tcPr>
            <w:tcW w:type="dxa" w:w="1440"/>
          </w:tcPr>
          <w:p>
            <w:r>
              <w:rPr>
                <w:rFonts w:ascii="Calibri" w:hAnsi="Calibri"/>
                <w:sz w:val="22"/>
              </w:rPr>
              <w:t>$0.792</w:t>
            </w:r>
          </w:p>
        </w:tc>
        <w:tc>
          <w:tcPr>
            <w:tcW w:type="dxa" w:w="1440"/>
          </w:tcPr>
          <w:p>
            <w:r>
              <w:rPr>
                <w:rFonts w:ascii="Calibri" w:hAnsi="Calibri"/>
                <w:b/>
                <w:color w:val="E5484D"/>
                <w:sz w:val="22"/>
              </w:rPr>
              <w:t>-4.5%</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Realized Income/Share</w:t>
            </w:r>
          </w:p>
        </w:tc>
        <w:tc>
          <w:tcPr>
            <w:tcW w:type="dxa" w:w="1440"/>
          </w:tcPr>
          <w:p>
            <w:r>
              <w:rPr>
                <w:rFonts w:ascii="Calibri" w:hAnsi="Calibri"/>
                <w:sz w:val="22"/>
              </w:rPr>
              <w:t>$0.401</w:t>
            </w:r>
          </w:p>
        </w:tc>
        <w:tc>
          <w:tcPr>
            <w:tcW w:type="dxa" w:w="1440"/>
          </w:tcPr>
          <w:p>
            <w:r>
              <w:rPr>
                <w:rFonts w:ascii="Calibri" w:hAnsi="Calibri"/>
                <w:sz w:val="22"/>
              </w:rPr>
              <w:t>$0.765</w:t>
            </w:r>
          </w:p>
        </w:tc>
        <w:tc>
          <w:tcPr>
            <w:tcW w:type="dxa" w:w="1440"/>
          </w:tcPr>
          <w:p>
            <w:r>
              <w:rPr>
                <w:rFonts w:ascii="Calibri" w:hAnsi="Calibri"/>
                <w:b/>
                <w:color w:val="E5484D"/>
                <w:sz w:val="22"/>
              </w:rPr>
              <w:t>-47.6%</w:t>
            </w:r>
          </w:p>
        </w:tc>
        <w:tc>
          <w:tcPr>
            <w:tcW w:type="dxa" w:w="1440"/>
          </w:tcPr>
          <w:p>
            <w:r>
              <w:rPr>
                <w:rFonts w:ascii="Calibri" w:hAnsi="Calibri"/>
                <w:sz w:val="22"/>
              </w:rPr>
              <w:t>Large Miss</w:t>
            </w:r>
          </w:p>
        </w:tc>
      </w:tr>
    </w:tbl>
    <w:p>
      <w:r>
        <w:rPr>
          <w:rFonts w:ascii="Calibri" w:hAnsi="Calibri"/>
          <w:b/>
          <w:color w:val="525866"/>
          <w:sz w:val="22"/>
        </w:rPr>
        <w:t xml:space="preserve">Pattern: </w:t>
      </w:r>
      <w:r>
        <w:rPr>
          <w:rFonts w:ascii="Calibri" w:hAnsi="Calibri"/>
          <w:color w:val="525866"/>
          <w:sz w:val="22"/>
        </w:rPr>
        <w:t>FRE per unit has beaten in 3 of the last 8 quarters (Q2 2025, Q3 2025, Q4 2025) and missed in 5; realized income per share has missed in 6 of the last 8 quarters, often materially, driven by the timing of European-style fund realizations. The July 9 performance income pre-announcement (&gt;$50M realized net performance income for Q2 2026) is the first explicit positive signal on realized income in several quarters and meaningfully reduces downside risk on that line.</w:t>
      </w:r>
    </w:p>
    <w:p>
      <w:r>
        <w:rPr>
          <w:rFonts w:ascii="Calibri" w:hAnsi="Calibri"/>
          <w:b/>
          <w:color w:val="525866"/>
          <w:sz w:val="22"/>
        </w:rPr>
        <w:t xml:space="preserve">Source: </w:t>
      </w:r>
      <w:r>
        <w:rPr>
          <w:rFonts w:ascii="Calibri" w:hAnsi="Calibri"/>
          <w:color w:val="525866"/>
          <w:sz w:val="22"/>
        </w:rPr>
        <w:t>Visible Alpha Consensus and Actuals Data (ARES US).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incrementally positive since Q1 2026 earnings</w:t>
      </w:r>
      <w:r>
        <w:rPr>
          <w:rFonts w:ascii="Calibri" w:hAnsi="Calibri"/>
          <w:color w:val="525866"/>
          <w:sz w:val="22"/>
        </w:rPr>
        <w:t xml:space="preserve"> — the July 9 performance income pre-announcement is the only formal post-earnings disclosure, and it is a meaningful upside signal. Management's tone on fundraising, deployment, and FRE margin has remained confident and unchanged.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1, 2026)</w:t>
            </w:r>
          </w:p>
        </w:tc>
        <w:tc>
          <w:tcPr>
            <w:tcW w:type="dxa" w:w="1728"/>
            <w:shd w:val="clear" w:color="auto" w:fill="3B4259"/>
          </w:tcPr>
          <w:p>
            <w:r>
              <w:rPr>
                <w:rFonts w:ascii="Calibri" w:hAnsi="Calibri"/>
                <w:b/>
                <w:color w:val="FFFFFF"/>
                <w:sz w:val="22"/>
              </w:rPr>
              <w:t>Revised Guidance (Post-Earnings)</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FRE Margin (Annual)</w:t>
            </w:r>
          </w:p>
        </w:tc>
        <w:tc>
          <w:tcPr>
            <w:tcW w:type="dxa" w:w="1728"/>
          </w:tcPr>
          <w:p>
            <w:r>
              <w:rPr>
                <w:rFonts w:ascii="Calibri" w:hAnsi="Calibri"/>
                <w:sz w:val="22"/>
              </w:rPr>
              <w:t>High end of 0–150 bps annual expansion target; expect to be within upper end of range for full year 2026</w:t>
            </w:r>
          </w:p>
        </w:tc>
        <w:tc>
          <w:tcPr>
            <w:tcW w:type="dxa" w:w="1728"/>
          </w:tcPr>
          <w:p>
            <w:r>
              <w:rPr>
                <w:rFonts w:ascii="Calibri" w:hAnsi="Calibri"/>
                <w:sz w:val="22"/>
              </w:rPr>
              <w:t>—</w:t>
            </w:r>
          </w:p>
        </w:tc>
        <w:tc>
          <w:tcPr>
            <w:tcW w:type="dxa" w:w="1728"/>
          </w:tcPr>
          <w:p>
            <w:r>
              <w:rPr>
                <w:rFonts w:ascii="Calibri" w:hAnsi="Calibri"/>
                <w:sz w:val="22"/>
              </w:rPr>
              <w:t>~42–43% implied by FRE consensus</w:t>
            </w:r>
          </w:p>
        </w:tc>
        <w:tc>
          <w:tcPr>
            <w:tcW w:type="dxa" w:w="1728"/>
          </w:tcPr>
          <w:p>
            <w:r>
              <w:rPr>
                <w:rFonts w:ascii="Calibri" w:hAnsi="Calibri"/>
                <w:sz w:val="22"/>
              </w:rPr>
              <w:t>Unchanged; management reiterated high-end confidence driven by GCP integration efficiencies and digital infra fund turning FRE-positive</w:t>
            </w:r>
          </w:p>
        </w:tc>
      </w:tr>
      <w:tr>
        <w:tc>
          <w:tcPr>
            <w:tcW w:type="dxa" w:w="1728"/>
          </w:tcPr>
          <w:p>
            <w:r>
              <w:rPr>
                <w:rFonts w:ascii="Calibri" w:hAnsi="Calibri"/>
                <w:sz w:val="22"/>
              </w:rPr>
              <w:t>Realized Net Performance Income (Q2 2026)</w:t>
            </w:r>
          </w:p>
        </w:tc>
        <w:tc>
          <w:tcPr>
            <w:tcW w:type="dxa" w:w="1728"/>
          </w:tcPr>
          <w:p>
            <w:r>
              <w:rPr>
                <w:rFonts w:ascii="Calibri" w:hAnsi="Calibri"/>
                <w:sz w:val="22"/>
              </w:rPr>
              <w:t>Not explicitly guided on Q1 call; Q1 2026 actual was $75M (+84% YoY)</w:t>
            </w:r>
          </w:p>
        </w:tc>
        <w:tc>
          <w:tcPr>
            <w:tcW w:type="dxa" w:w="1728"/>
          </w:tcPr>
          <w:p>
            <w:r>
              <w:rPr>
                <w:rFonts w:ascii="Calibri" w:hAnsi="Calibri"/>
                <w:sz w:val="22"/>
              </w:rPr>
              <w:t>&gt;$50M (preliminary estimate disclosed July 9, 2026 via 8-K; effective period: Q2 2026 ending June 30, 2026; disclosure date: July 9, 2026)</w:t>
            </w:r>
          </w:p>
        </w:tc>
        <w:tc>
          <w:tcPr>
            <w:tcW w:type="dxa" w:w="1728"/>
          </w:tcPr>
          <w:p>
            <w:r>
              <w:rPr>
                <w:rFonts w:ascii="Calibri" w:hAnsi="Calibri"/>
                <w:sz w:val="22"/>
              </w:rPr>
              <w:t>Consensus realized income/share: $0.694</w:t>
            </w:r>
          </w:p>
        </w:tc>
        <w:tc>
          <w:tcPr>
            <w:tcW w:type="dxa" w:w="1728"/>
          </w:tcPr>
          <w:p>
            <w:r>
              <w:rPr>
                <w:rFonts w:ascii="Calibri" w:hAnsi="Calibri"/>
                <w:sz w:val="22"/>
              </w:rPr>
              <w:t>↑ Positive pre-announcement via 8-K filed July 9, 2026 (disclosure date); relates to Q2 2026 reporting period. &gt;$50M vs. $16M in Q2 2025 (+213% YoY). Management cautioned actual results may differ materially from preliminary estimate.</w:t>
            </w:r>
          </w:p>
        </w:tc>
      </w:tr>
      <w:tr>
        <w:tc>
          <w:tcPr>
            <w:tcW w:type="dxa" w:w="1728"/>
          </w:tcPr>
          <w:p>
            <w:r>
              <w:rPr>
                <w:rFonts w:ascii="Calibri" w:hAnsi="Calibri"/>
                <w:sz w:val="22"/>
              </w:rPr>
              <w:t>Annual Fundraising</w:t>
            </w:r>
          </w:p>
        </w:tc>
        <w:tc>
          <w:tcPr>
            <w:tcW w:type="dxa" w:w="1728"/>
          </w:tcPr>
          <w:p>
            <w:r>
              <w:rPr>
                <w:rFonts w:ascii="Calibri" w:hAnsi="Calibri"/>
                <w:sz w:val="22"/>
              </w:rPr>
              <w:t>On track for record year; Q1 2026 was highest-ever first quarter at $30B (+46% YoY); 2028 target of $125B annual fundraising unchanged</w:t>
            </w:r>
          </w:p>
        </w:tc>
        <w:tc>
          <w:tcPr>
            <w:tcW w:type="dxa" w:w="1728"/>
          </w:tcPr>
          <w:p>
            <w:r>
              <w:rPr>
                <w:rFonts w:ascii="Calibri" w:hAnsi="Calibri"/>
                <w:sz w:val="22"/>
              </w:rPr>
              <w:t>—</w:t>
            </w:r>
          </w:p>
        </w:tc>
        <w:tc>
          <w:tcPr>
            <w:tcW w:type="dxa" w:w="1728"/>
          </w:tcPr>
          <w:p>
            <w:r>
              <w:rPr>
                <w:rFonts w:ascii="Calibri" w:hAnsi="Calibri"/>
                <w:sz w:val="22"/>
              </w:rPr>
              <w:t>N/A — not a consensus-tracked KPI</w:t>
            </w:r>
          </w:p>
        </w:tc>
        <w:tc>
          <w:tcPr>
            <w:tcW w:type="dxa" w:w="1728"/>
          </w:tcPr>
          <w:p>
            <w:r>
              <w:rPr>
                <w:rFonts w:ascii="Calibri" w:hAnsi="Calibri"/>
                <w:sz w:val="22"/>
              </w:rPr>
              <w:t>Unchanged; Pathfinder III closed at hard cap in June 2026 (~$12.5B total); wealth inflows ~$3.6B in Q2 2026 per management commentary</w:t>
            </w:r>
          </w:p>
        </w:tc>
      </w:tr>
      <w:tr>
        <w:tc>
          <w:tcPr>
            <w:tcW w:type="dxa" w:w="1728"/>
          </w:tcPr>
          <w:p>
            <w:r>
              <w:rPr>
                <w:rFonts w:ascii="Calibri" w:hAnsi="Calibri"/>
                <w:sz w:val="22"/>
              </w:rPr>
              <w:t>Capital Deployment</w:t>
            </w:r>
          </w:p>
        </w:tc>
        <w:tc>
          <w:tcPr>
            <w:tcW w:type="dxa" w:w="1728"/>
          </w:tcPr>
          <w:p>
            <w:r>
              <w:rPr>
                <w:rFonts w:ascii="Calibri" w:hAnsi="Calibri"/>
                <w:sz w:val="22"/>
              </w:rPr>
              <w:t>Back-half acceleration expected in US direct lending; pipeline at record levels; European DL, ABF, digital infra, secondaries most active</w:t>
            </w:r>
          </w:p>
        </w:tc>
        <w:tc>
          <w:tcPr>
            <w:tcW w:type="dxa" w:w="1728"/>
          </w:tcPr>
          <w:p>
            <w:r>
              <w:rPr>
                <w:rFonts w:ascii="Calibri" w:hAnsi="Calibri"/>
                <w:sz w:val="22"/>
              </w:rPr>
              <w:t>—</w:t>
            </w:r>
          </w:p>
        </w:tc>
        <w:tc>
          <w:tcPr>
            <w:tcW w:type="dxa" w:w="1728"/>
          </w:tcPr>
          <w:p>
            <w:r>
              <w:rPr>
                <w:rFonts w:ascii="Calibri" w:hAnsi="Calibri"/>
                <w:sz w:val="22"/>
              </w:rPr>
              <w:t>$33.9B Q2 2026 consensus</w:t>
            </w:r>
          </w:p>
        </w:tc>
        <w:tc>
          <w:tcPr>
            <w:tcW w:type="dxa" w:w="1728"/>
          </w:tcPr>
          <w:p>
            <w:r>
              <w:rPr>
                <w:rFonts w:ascii="Calibri" w:hAnsi="Calibri"/>
                <w:sz w:val="22"/>
              </w:rPr>
              <w:t>Unchanged; management confirmed as of June 2026 that US direct lending is picking up; four most active areas: European DL, ABF, digital infra, secondaries</w:t>
            </w:r>
          </w:p>
        </w:tc>
      </w:tr>
      <w:tr>
        <w:tc>
          <w:tcPr>
            <w:tcW w:type="dxa" w:w="1728"/>
          </w:tcPr>
          <w:p>
            <w:r>
              <w:rPr>
                <w:rFonts w:ascii="Calibri" w:hAnsi="Calibri"/>
                <w:sz w:val="22"/>
              </w:rPr>
              <w:t>Wealth AUM / Redemptions</w:t>
            </w:r>
          </w:p>
        </w:tc>
        <w:tc>
          <w:tcPr>
            <w:tcW w:type="dxa" w:w="1728"/>
          </w:tcPr>
          <w:p>
            <w:r>
              <w:rPr>
                <w:rFonts w:ascii="Calibri" w:hAnsi="Calibri"/>
                <w:sz w:val="22"/>
              </w:rPr>
              <w:t>2028 wealth AUM target of $125B reaffirmed; non-traded BDC redemptions characterized as isolated; gross wealth inflows $4B in Q1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Q2 2026 gross wealth inflows ~$3.6B per management; infrastructure wealth fund raised ~$1.9B in Q2 alone; redemption narrative stable</w:t>
            </w:r>
          </w:p>
        </w:tc>
      </w:tr>
      <w:tr>
        <w:tc>
          <w:tcPr>
            <w:tcW w:type="dxa" w:w="1728"/>
          </w:tcPr>
          <w:p>
            <w:r>
              <w:rPr>
                <w:rFonts w:ascii="Calibri" w:hAnsi="Calibri"/>
                <w:sz w:val="22"/>
              </w:rPr>
              <w:t>Digital Infrastructure (GCP)</w:t>
            </w:r>
          </w:p>
        </w:tc>
        <w:tc>
          <w:tcPr>
            <w:tcW w:type="dxa" w:w="1728"/>
          </w:tcPr>
          <w:p>
            <w:r>
              <w:rPr>
                <w:rFonts w:ascii="Calibri" w:hAnsi="Calibri"/>
                <w:sz w:val="22"/>
              </w:rPr>
              <w:t>Significant first close for global data center fund expected summer 2026; GCP transitioning from negative to positive FRE contributor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Pathfinder III (ABF) closed at hard cap June 10, 2026 at ~$8.5B (largest global ABF fund); data center fund first close expected imminently</w:t>
            </w:r>
          </w:p>
        </w:tc>
      </w:tr>
    </w:tbl>
    <w:p>
      <w:r>
        <w:rPr>
          <w:rFonts w:ascii="Calibri" w:hAnsi="Calibri"/>
          <w:b/>
          <w:color w:val="525866"/>
          <w:sz w:val="22"/>
        </w:rPr>
        <w:t xml:space="preserve">Note on July 9, 2026 Disclosure: </w:t>
      </w:r>
      <w:r>
        <w:rPr>
          <w:rFonts w:ascii="Calibri" w:hAnsi="Calibri"/>
          <w:color w:val="525866"/>
          <w:sz w:val="22"/>
        </w:rPr>
        <w:t>The 8-K filed July 9, 2026 (</w:t>
      </w:r>
      <w:r>
        <w:rPr>
          <w:rFonts w:ascii="Calibri" w:hAnsi="Calibri"/>
          <w:i/>
          <w:color w:val="525866"/>
          <w:sz w:val="22"/>
        </w:rPr>
        <w:t>disclosure date</w:t>
      </w:r>
      <w:r>
        <w:rPr>
          <w:rFonts w:ascii="Calibri" w:hAnsi="Calibri"/>
          <w:color w:val="525866"/>
          <w:sz w:val="22"/>
        </w:rPr>
        <w:t xml:space="preserve">) contains a preliminary estimate of realized net performance income for the quarter </w:t>
      </w:r>
      <w:r>
        <w:rPr>
          <w:rFonts w:ascii="Calibri" w:hAnsi="Calibri"/>
          <w:i/>
          <w:color w:val="525866"/>
          <w:sz w:val="22"/>
        </w:rPr>
        <w:t>ending June 30, 2026</w:t>
      </w:r>
      <w:r>
        <w:rPr>
          <w:rFonts w:ascii="Calibri" w:hAnsi="Calibri"/>
          <w:color w:val="525866"/>
          <w:sz w:val="22"/>
        </w:rPr>
        <w:t xml:space="preserve"> (the </w:t>
      </w:r>
      <w:r>
        <w:rPr>
          <w:rFonts w:ascii="Calibri" w:hAnsi="Calibri"/>
          <w:i/>
          <w:color w:val="525866"/>
          <w:sz w:val="22"/>
        </w:rPr>
        <w:t>reporting period</w:t>
      </w:r>
      <w:r>
        <w:rPr>
          <w:rFonts w:ascii="Calibri" w:hAnsi="Calibri"/>
          <w:color w:val="525866"/>
          <w:sz w:val="22"/>
        </w:rPr>
        <w:t>). Ares explicitly cautioned that actual Q2 2026 results may differ materially from this preliminary estimate, and that this figure is not indicative of realized investment income, realized income, or any other financial metric for Q2 2026 or the full year.</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FRE have been </w:t>
      </w:r>
      <w:r>
        <w:rPr>
          <w:rFonts w:ascii="Calibri" w:hAnsi="Calibri"/>
          <w:b/>
          <w:color w:val="525866"/>
          <w:sz w:val="22"/>
        </w:rPr>
        <w:t>revised modestly lower since Q1 earnings</w:t>
      </w:r>
      <w:r>
        <w:rPr>
          <w:rFonts w:ascii="Calibri" w:hAnsi="Calibri"/>
          <w:color w:val="525866"/>
          <w:sz w:val="22"/>
        </w:rPr>
        <w:t xml:space="preserve"> (from $0.852 to $0.859 post-Q1 baseline vs. $0.859 current — essentially flat), while realized income estimates have drifted lower despite the positive performance income pre-announcement, suggesting the street has not yet fully incorporated the July 9 signal. Full-year 2026 FRE estimates are slightly higher than the post-Q1 baseline, consistent with management's high-end margin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8, 2026)</w:t>
            </w:r>
          </w:p>
        </w:tc>
        <w:tc>
          <w:tcPr>
            <w:tcW w:type="dxa" w:w="1080"/>
            <w:shd w:val="clear" w:color="auto" w:fill="3B4259"/>
          </w:tcPr>
          <w:p>
            <w:r>
              <w:rPr>
                <w:rFonts w:ascii="Calibri" w:hAnsi="Calibri"/>
                <w:b/>
                <w:color w:val="FFFFFF"/>
                <w:sz w:val="22"/>
              </w:rPr>
              <w:t>Current Consensus (July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 / Signal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After-Tax FRE/Unit — Q2 2026</w:t>
            </w:r>
          </w:p>
        </w:tc>
        <w:tc>
          <w:tcPr>
            <w:tcW w:type="dxa" w:w="1080"/>
          </w:tcPr>
          <w:p>
            <w:r>
              <w:rPr>
                <w:rFonts w:ascii="Calibri" w:hAnsi="Calibri"/>
                <w:sz w:val="22"/>
              </w:rPr>
              <w:t>$0.852</w:t>
            </w:r>
          </w:p>
        </w:tc>
        <w:tc>
          <w:tcPr>
            <w:tcW w:type="dxa" w:w="1080"/>
          </w:tcPr>
          <w:p>
            <w:r>
              <w:rPr>
                <w:rFonts w:ascii="Calibri" w:hAnsi="Calibri"/>
                <w:sz w:val="22"/>
              </w:rPr>
              <w:t>$0.859</w:t>
            </w:r>
          </w:p>
        </w:tc>
        <w:tc>
          <w:tcPr>
            <w:tcW w:type="dxa" w:w="1080"/>
          </w:tcPr>
          <w:p>
            <w:r>
              <w:rPr>
                <w:rFonts w:ascii="Calibri" w:hAnsi="Calibri"/>
                <w:sz w:val="22"/>
              </w:rPr>
              <w:t>+0.8%</w:t>
            </w:r>
          </w:p>
        </w:tc>
        <w:tc>
          <w:tcPr>
            <w:tcW w:type="dxa" w:w="1080"/>
          </w:tcPr>
          <w:p>
            <w:r>
              <w:rPr>
                <w:rFonts w:ascii="Calibri" w:hAnsi="Calibri"/>
                <w:sz w:val="22"/>
              </w:rPr>
              <w:t>High end of 0–150 bps annual margin expansion</w:t>
            </w:r>
          </w:p>
        </w:tc>
        <w:tc>
          <w:tcPr>
            <w:tcW w:type="dxa" w:w="1080"/>
          </w:tcPr>
          <w:p>
            <w:r>
              <w:rPr>
                <w:rFonts w:ascii="Calibri" w:hAnsi="Calibri"/>
                <w:sz w:val="22"/>
              </w:rPr>
              <w:t>Unchanged; GCP digital infra fund first close expected summer 2026 adds positive FRE contribution</w:t>
            </w:r>
          </w:p>
        </w:tc>
        <w:tc>
          <w:tcPr>
            <w:tcW w:type="dxa" w:w="1080"/>
          </w:tcPr>
          <w:p>
            <w:r>
              <w:rPr>
                <w:rFonts w:ascii="Calibri" w:hAnsi="Calibri"/>
                <w:sz w:val="22"/>
              </w:rPr>
              <w:t>Unchanged</w:t>
            </w:r>
          </w:p>
        </w:tc>
        <w:tc>
          <w:tcPr>
            <w:tcW w:type="dxa" w:w="1080"/>
          </w:tcPr>
          <w:p>
            <w:r>
              <w:rPr>
                <w:rFonts w:ascii="Calibri" w:hAnsi="Calibri"/>
                <w:sz w:val="22"/>
              </w:rPr>
              <w:t>Consensus in line with guidance trajectory</w:t>
            </w:r>
          </w:p>
        </w:tc>
      </w:tr>
      <w:tr>
        <w:tc>
          <w:tcPr>
            <w:tcW w:type="dxa" w:w="1080"/>
          </w:tcPr>
          <w:p>
            <w:r>
              <w:rPr>
                <w:rFonts w:ascii="Calibri" w:hAnsi="Calibri"/>
                <w:sz w:val="22"/>
              </w:rPr>
              <w:t>After-Tax Realized Income/Share — Q2 2026</w:t>
            </w:r>
          </w:p>
        </w:tc>
        <w:tc>
          <w:tcPr>
            <w:tcW w:type="dxa" w:w="1080"/>
          </w:tcPr>
          <w:p>
            <w:r>
              <w:rPr>
                <w:rFonts w:ascii="Calibri" w:hAnsi="Calibri"/>
                <w:sz w:val="22"/>
              </w:rPr>
              <w:t>$0.708</w:t>
            </w:r>
          </w:p>
        </w:tc>
        <w:tc>
          <w:tcPr>
            <w:tcW w:type="dxa" w:w="1080"/>
          </w:tcPr>
          <w:p>
            <w:r>
              <w:rPr>
                <w:rFonts w:ascii="Calibri" w:hAnsi="Calibri"/>
                <w:sz w:val="22"/>
              </w:rPr>
              <w:t>$0.694</w:t>
            </w:r>
          </w:p>
        </w:tc>
        <w:tc>
          <w:tcPr>
            <w:tcW w:type="dxa" w:w="1080"/>
          </w:tcPr>
          <w:p>
            <w:r>
              <w:rPr>
                <w:rFonts w:ascii="Calibri" w:hAnsi="Calibri"/>
                <w:sz w:val="22"/>
              </w:rPr>
              <w:t>-2.0%</w:t>
            </w:r>
          </w:p>
        </w:tc>
        <w:tc>
          <w:tcPr>
            <w:tcW w:type="dxa" w:w="1080"/>
          </w:tcPr>
          <w:p>
            <w:r>
              <w:rPr>
                <w:rFonts w:ascii="Calibri" w:hAnsi="Calibri"/>
                <w:sz w:val="22"/>
              </w:rPr>
              <w:t>Not explicitly guided</w:t>
            </w:r>
          </w:p>
        </w:tc>
        <w:tc>
          <w:tcPr>
            <w:tcW w:type="dxa" w:w="1080"/>
          </w:tcPr>
          <w:p>
            <w:r>
              <w:rPr>
                <w:rFonts w:ascii="Calibri" w:hAnsi="Calibri"/>
                <w:sz w:val="22"/>
              </w:rPr>
              <w:t>↑ July 9, 2026 8-K: realized net performance income &gt;$50M for Q2 2026 (vs. $16M in Q2 2025); disclosure date July 9, 2026; reporting period Q2 2026</w:t>
            </w:r>
          </w:p>
        </w:tc>
        <w:tc>
          <w:tcPr>
            <w:tcW w:type="dxa" w:w="1080"/>
          </w:tcPr>
          <w:p>
            <w:r>
              <w:rPr>
                <w:rFonts w:ascii="Calibri" w:hAnsi="Calibri"/>
                <w:sz w:val="22"/>
              </w:rPr>
              <w:t>Positive pre-announcement</w:t>
            </w:r>
          </w:p>
        </w:tc>
        <w:tc>
          <w:tcPr>
            <w:tcW w:type="dxa" w:w="1080"/>
          </w:tcPr>
          <w:p>
            <w:r>
              <w:rPr>
                <w:rFonts w:ascii="Calibri" w:hAnsi="Calibri"/>
                <w:sz w:val="22"/>
              </w:rPr>
              <w:t>Upside risk to consensus given pre-announcement</w:t>
            </w:r>
          </w:p>
        </w:tc>
      </w:tr>
      <w:tr>
        <w:tc>
          <w:tcPr>
            <w:tcW w:type="dxa" w:w="1080"/>
          </w:tcPr>
          <w:p>
            <w:r>
              <w:rPr>
                <w:rFonts w:ascii="Calibri" w:hAnsi="Calibri"/>
                <w:sz w:val="22"/>
              </w:rPr>
              <w:t>FPAUM — Q2 2026</w:t>
            </w:r>
          </w:p>
        </w:tc>
        <w:tc>
          <w:tcPr>
            <w:tcW w:type="dxa" w:w="1080"/>
          </w:tcPr>
          <w:p>
            <w:r>
              <w:rPr>
                <w:rFonts w:ascii="Calibri" w:hAnsi="Calibri"/>
                <w:sz w:val="22"/>
              </w:rPr>
              <w:t>$413.8B</w:t>
            </w:r>
          </w:p>
        </w:tc>
        <w:tc>
          <w:tcPr>
            <w:tcW w:type="dxa" w:w="1080"/>
          </w:tcPr>
          <w:p>
            <w:r>
              <w:rPr>
                <w:rFonts w:ascii="Calibri" w:hAnsi="Calibri"/>
                <w:sz w:val="22"/>
              </w:rPr>
              <w:t>$414.2B</w:t>
            </w:r>
          </w:p>
        </w:tc>
        <w:tc>
          <w:tcPr>
            <w:tcW w:type="dxa" w:w="1080"/>
          </w:tcPr>
          <w:p>
            <w:r>
              <w:rPr>
                <w:rFonts w:ascii="Calibri" w:hAnsi="Calibri"/>
                <w:sz w:val="22"/>
              </w:rPr>
              <w:t>+0.1%</w:t>
            </w:r>
          </w:p>
        </w:tc>
        <w:tc>
          <w:tcPr>
            <w:tcW w:type="dxa" w:w="1080"/>
          </w:tcPr>
          <w:p>
            <w:r>
              <w:rPr>
                <w:rFonts w:ascii="Calibri" w:hAnsi="Calibri"/>
                <w:sz w:val="22"/>
              </w:rPr>
              <w:t>Record dry powder &gt;$158B; deployment pipeline at record levels</w:t>
            </w:r>
          </w:p>
        </w:tc>
        <w:tc>
          <w:tcPr>
            <w:tcW w:type="dxa" w:w="1080"/>
          </w:tcPr>
          <w:p>
            <w:r>
              <w:rPr>
                <w:rFonts w:ascii="Calibri" w:hAnsi="Calibri"/>
                <w:sz w:val="22"/>
              </w:rPr>
              <w:t>Unchanged; Q2 2026 most active areas: European DL, ABF, digital infra, secondaries; US DL picking up</w:t>
            </w:r>
          </w:p>
        </w:tc>
        <w:tc>
          <w:tcPr>
            <w:tcW w:type="dxa" w:w="1080"/>
          </w:tcPr>
          <w:p>
            <w:r>
              <w:rPr>
                <w:rFonts w:ascii="Calibri" w:hAnsi="Calibri"/>
                <w:sz w:val="22"/>
              </w:rPr>
              <w:t>Unchanged</w:t>
            </w:r>
          </w:p>
        </w:tc>
        <w:tc>
          <w:tcPr>
            <w:tcW w:type="dxa" w:w="1080"/>
          </w:tcPr>
          <w:p>
            <w:r>
              <w:rPr>
                <w:rFonts w:ascii="Calibri" w:hAnsi="Calibri"/>
                <w:sz w:val="22"/>
              </w:rPr>
              <w:t>Consensus in line with deployment trajectory</w:t>
            </w:r>
          </w:p>
        </w:tc>
      </w:tr>
      <w:tr>
        <w:tc>
          <w:tcPr>
            <w:tcW w:type="dxa" w:w="1080"/>
          </w:tcPr>
          <w:p>
            <w:r>
              <w:rPr>
                <w:rFonts w:ascii="Calibri" w:hAnsi="Calibri"/>
                <w:sz w:val="22"/>
              </w:rPr>
              <w:t>After-Tax FRE/Unit — FY 2026</w:t>
            </w:r>
          </w:p>
        </w:tc>
        <w:tc>
          <w:tcPr>
            <w:tcW w:type="dxa" w:w="1080"/>
          </w:tcPr>
          <w:p>
            <w:r>
              <w:rPr>
                <w:rFonts w:ascii="Calibri" w:hAnsi="Calibri"/>
                <w:sz w:val="22"/>
              </w:rPr>
              <w:t>$3.913</w:t>
            </w:r>
          </w:p>
        </w:tc>
        <w:tc>
          <w:tcPr>
            <w:tcW w:type="dxa" w:w="1080"/>
          </w:tcPr>
          <w:p>
            <w:r>
              <w:rPr>
                <w:rFonts w:ascii="Calibri" w:hAnsi="Calibri"/>
                <w:sz w:val="22"/>
              </w:rPr>
              <w:t>$3.913</w:t>
            </w:r>
          </w:p>
        </w:tc>
        <w:tc>
          <w:tcPr>
            <w:tcW w:type="dxa" w:w="1080"/>
          </w:tcPr>
          <w:p>
            <w:r>
              <w:rPr>
                <w:rFonts w:ascii="Calibri" w:hAnsi="Calibri"/>
                <w:sz w:val="22"/>
              </w:rPr>
              <w:t>0.0%</w:t>
            </w:r>
          </w:p>
        </w:tc>
        <w:tc>
          <w:tcPr>
            <w:tcW w:type="dxa" w:w="1080"/>
          </w:tcPr>
          <w:p>
            <w:r>
              <w:rPr>
                <w:rFonts w:ascii="Calibri" w:hAnsi="Calibri"/>
                <w:sz w:val="22"/>
              </w:rPr>
              <w:t>High end of 0–150 bps annual margin expansion; on track to meet financial objectives for the year</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Consensus consistent with guidance</w:t>
            </w:r>
          </w:p>
        </w:tc>
      </w:tr>
      <w:tr>
        <w:tc>
          <w:tcPr>
            <w:tcW w:type="dxa" w:w="1080"/>
          </w:tcPr>
          <w:p>
            <w:r>
              <w:rPr>
                <w:rFonts w:ascii="Calibri" w:hAnsi="Calibri"/>
                <w:sz w:val="22"/>
              </w:rPr>
              <w:t>After-Tax Realized Income/Share — FY 2026</w:t>
            </w:r>
          </w:p>
        </w:tc>
        <w:tc>
          <w:tcPr>
            <w:tcW w:type="dxa" w:w="1080"/>
          </w:tcPr>
          <w:p>
            <w:r>
              <w:rPr>
                <w:rFonts w:ascii="Calibri" w:hAnsi="Calibri"/>
                <w:sz w:val="22"/>
              </w:rPr>
              <w:t>$3.613</w:t>
            </w:r>
          </w:p>
        </w:tc>
        <w:tc>
          <w:tcPr>
            <w:tcW w:type="dxa" w:w="1080"/>
          </w:tcPr>
          <w:p>
            <w:r>
              <w:rPr>
                <w:rFonts w:ascii="Calibri" w:hAnsi="Calibri"/>
                <w:sz w:val="22"/>
              </w:rPr>
              <w:t>$3.503</w:t>
            </w:r>
          </w:p>
        </w:tc>
        <w:tc>
          <w:tcPr>
            <w:tcW w:type="dxa" w:w="1080"/>
          </w:tcPr>
          <w:p>
            <w:r>
              <w:rPr>
                <w:rFonts w:ascii="Calibri" w:hAnsi="Calibri"/>
                <w:sz w:val="22"/>
              </w:rPr>
              <w:t>-3.0%</w:t>
            </w:r>
          </w:p>
        </w:tc>
        <w:tc>
          <w:tcPr>
            <w:tcW w:type="dxa" w:w="1080"/>
          </w:tcPr>
          <w:p>
            <w:r>
              <w:rPr>
                <w:rFonts w:ascii="Calibri" w:hAnsi="Calibri"/>
                <w:sz w:val="22"/>
              </w:rPr>
              <w:t>Not explicitly guided at FY level</w:t>
            </w:r>
          </w:p>
        </w:tc>
        <w:tc>
          <w:tcPr>
            <w:tcW w:type="dxa" w:w="1080"/>
          </w:tcPr>
          <w:p>
            <w:r>
              <w:rPr>
                <w:rFonts w:ascii="Calibri" w:hAnsi="Calibri"/>
                <w:sz w:val="22"/>
              </w:rPr>
              <w:t>July 9 pre-announcement provides partial positive signal for Q2; H2 realization cadence uncertain</w:t>
            </w:r>
          </w:p>
        </w:tc>
        <w:tc>
          <w:tcPr>
            <w:tcW w:type="dxa" w:w="1080"/>
          </w:tcPr>
          <w:p>
            <w:r>
              <w:rPr>
                <w:rFonts w:ascii="Calibri" w:hAnsi="Calibri"/>
                <w:sz w:val="22"/>
              </w:rPr>
              <w:t>N/A</w:t>
            </w:r>
          </w:p>
        </w:tc>
        <w:tc>
          <w:tcPr>
            <w:tcW w:type="dxa" w:w="1080"/>
          </w:tcPr>
          <w:p>
            <w:r>
              <w:rPr>
                <w:rFonts w:ascii="Calibri" w:hAnsi="Calibri"/>
                <w:sz w:val="22"/>
              </w:rPr>
              <w:t>Estimates drifted lower; upside risk if H2 realizations accelerate</w:t>
            </w:r>
          </w:p>
        </w:tc>
      </w:tr>
      <w:tr>
        <w:tc>
          <w:tcPr>
            <w:tcW w:type="dxa" w:w="1080"/>
          </w:tcPr>
          <w:p>
            <w:r>
              <w:rPr>
                <w:rFonts w:ascii="Calibri" w:hAnsi="Calibri"/>
                <w:sz w:val="22"/>
              </w:rPr>
              <w:t>FPAUM — FY 2026</w:t>
            </w:r>
          </w:p>
        </w:tc>
        <w:tc>
          <w:tcPr>
            <w:tcW w:type="dxa" w:w="1080"/>
          </w:tcPr>
          <w:p>
            <w:r>
              <w:rPr>
                <w:rFonts w:ascii="Calibri" w:hAnsi="Calibri"/>
                <w:sz w:val="22"/>
              </w:rPr>
              <w:t>$446.4B</w:t>
            </w:r>
          </w:p>
        </w:tc>
        <w:tc>
          <w:tcPr>
            <w:tcW w:type="dxa" w:w="1080"/>
          </w:tcPr>
          <w:p>
            <w:r>
              <w:rPr>
                <w:rFonts w:ascii="Calibri" w:hAnsi="Calibri"/>
                <w:sz w:val="22"/>
              </w:rPr>
              <w:t>$452.1B</w:t>
            </w:r>
          </w:p>
        </w:tc>
        <w:tc>
          <w:tcPr>
            <w:tcW w:type="dxa" w:w="1080"/>
          </w:tcPr>
          <w:p>
            <w:r>
              <w:rPr>
                <w:rFonts w:ascii="Calibri" w:hAnsi="Calibri"/>
                <w:sz w:val="22"/>
              </w:rPr>
              <w:t>+1.3%</w:t>
            </w:r>
          </w:p>
        </w:tc>
        <w:tc>
          <w:tcPr>
            <w:tcW w:type="dxa" w:w="1080"/>
          </w:tcPr>
          <w:p>
            <w:r>
              <w:rPr>
                <w:rFonts w:ascii="Calibri" w:hAnsi="Calibri"/>
                <w:sz w:val="22"/>
              </w:rPr>
              <w:t>Record fundraising trajectory; 2028 target of $125B annual fundraising</w:t>
            </w:r>
          </w:p>
        </w:tc>
        <w:tc>
          <w:tcPr>
            <w:tcW w:type="dxa" w:w="1080"/>
          </w:tcPr>
          <w:p>
            <w:r>
              <w:rPr>
                <w:rFonts w:ascii="Calibri" w:hAnsi="Calibri"/>
                <w:sz w:val="22"/>
              </w:rPr>
              <w:t>Unchanged; Pathfinder III close, digital infra fund first close, and wealth inflows support upward revision</w:t>
            </w:r>
          </w:p>
        </w:tc>
        <w:tc>
          <w:tcPr>
            <w:tcW w:type="dxa" w:w="1080"/>
          </w:tcPr>
          <w:p>
            <w:r>
              <w:rPr>
                <w:rFonts w:ascii="Calibri" w:hAnsi="Calibri"/>
                <w:sz w:val="22"/>
              </w:rPr>
              <w:t>Unchanged</w:t>
            </w:r>
          </w:p>
        </w:tc>
        <w:tc>
          <w:tcPr>
            <w:tcW w:type="dxa" w:w="1080"/>
          </w:tcPr>
          <w:p>
            <w:r>
              <w:rPr>
                <w:rFonts w:ascii="Calibri" w:hAnsi="Calibri"/>
                <w:sz w:val="22"/>
              </w:rPr>
              <w:t>Consensus has moved slightly higher since Q1 earnings; positive trajectory</w:t>
            </w:r>
          </w:p>
        </w:tc>
      </w:tr>
    </w:tbl>
    <w:p>
      <w:r>
        <w:rPr>
          <w:rFonts w:ascii="Calibri" w:hAnsi="Calibri"/>
          <w:b/>
          <w:color w:val="525866"/>
          <w:sz w:val="22"/>
        </w:rPr>
        <w:t xml:space="preserve">Source: </w:t>
      </w:r>
      <w:r>
        <w:rPr>
          <w:rFonts w:ascii="Calibri" w:hAnsi="Calibri"/>
          <w:color w:val="525866"/>
          <w:sz w:val="22"/>
        </w:rPr>
        <w:t>Visible Alpha Consensus and Actuals Data (ARES US). Post-Q1 baseline as of May 8, 2026 (5 trading days after May 1, 2026 earnings). Current consensus as of July 30, 2026. July 9, 2026 8-K (Ares Management Corporation).</w:t>
      </w:r>
    </w:p>
    <w:p>
      <w:r>
        <w:rPr>
          <w:rFonts w:ascii="Calibri" w:hAnsi="Calibri"/>
          <w:b/>
          <w:color w:val="525866"/>
          <w:sz w:val="22"/>
        </w:rPr>
        <w:t xml:space="preserve">Commentary: </w:t>
      </w:r>
      <w:r>
        <w:rPr>
          <w:rFonts w:ascii="Calibri" w:hAnsi="Calibri"/>
          <w:color w:val="525866"/>
          <w:sz w:val="22"/>
        </w:rPr>
        <w:t>FRE estimates are essentially flat since Q1 earnings, suggesting the street is tracking management's guidance closely. The more interesting divergence is on realized income, where estimates have drifted slightly lower despite the July 9 positive pre-announcement — this gap represents potential upside cushion if the full Q2 realized income line (including realized investment income) comes in above the $0.694 consensus. Full-year FPAUM estimates have moved modestly higher, consistent with the Pathfinder III hard-cap close and strong Q2 wealth inflows.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ARES has </w:t>
      </w:r>
      <w:r>
        <w:rPr>
          <w:rFonts w:ascii="Calibri" w:hAnsi="Calibri"/>
          <w:b/>
          <w:color w:val="525866"/>
          <w:sz w:val="22"/>
        </w:rPr>
        <w:t>underperformed both KCE and SPY since Q1 2026 earnings</w:t>
      </w:r>
      <w:r>
        <w:rPr>
          <w:rFonts w:ascii="Calibri" w:hAnsi="Calibri"/>
          <w:color w:val="525866"/>
          <w:sz w:val="22"/>
        </w:rPr>
        <w:t xml:space="preserve"> — down ~6% vs. KCE flat and SPY +3% — driven almost entirely by multiple compression (P/E contracted from ~22x to ~18x NTM) rather than estimate cuts, suggesting sentiment-driven selling on wealth channel redemption concerns that the fundamentals do not fully support.</w:t>
      </w:r>
    </w:p>
    <w:p>
      <w:r>
        <w:rPr>
          <w:rFonts w:ascii="Calibri" w:hAnsi="Calibri"/>
          <w:b/>
          <w:color w:val="525866"/>
          <w:sz w:val="22"/>
        </w:rPr>
        <w:t xml:space="preserve">Sector ETF: </w:t>
      </w:r>
      <w:r>
        <w:rPr>
          <w:rFonts w:ascii="Calibri" w:hAnsi="Calibri"/>
          <w:color w:val="525866"/>
          <w:sz w:val="22"/>
        </w:rPr>
        <w:t>KCE (SPDR S&amp;P Capital Markets ETF) — appropriate for Ares given its classification as an alternative asset manager within the capital markets sub-sector. Indexed to 100 at May 1, 2026 (last earnings 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 / Event</w:t>
            </w:r>
          </w:p>
        </w:tc>
        <w:tc>
          <w:tcPr>
            <w:tcW w:type="dxa" w:w="1728"/>
            <w:shd w:val="clear" w:color="auto" w:fill="3B4259"/>
          </w:tcPr>
          <w:p>
            <w:r>
              <w:rPr>
                <w:rFonts w:ascii="Calibri" w:hAnsi="Calibri"/>
                <w:b/>
                <w:color w:val="FFFFFF"/>
                <w:sz w:val="22"/>
              </w:rPr>
              <w:t>ARES (Indexed)</w:t>
            </w:r>
          </w:p>
        </w:tc>
        <w:tc>
          <w:tcPr>
            <w:tcW w:type="dxa" w:w="1728"/>
            <w:shd w:val="clear" w:color="auto" w:fill="3B4259"/>
          </w:tcPr>
          <w:p>
            <w:r>
              <w:rPr>
                <w:rFonts w:ascii="Calibri" w:hAnsi="Calibri"/>
                <w:b/>
                <w:color w:val="FFFFFF"/>
                <w:sz w:val="22"/>
              </w:rPr>
              <w:t>KCE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May 1, 2026 (Q1 Earnings)</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Base date</w:t>
            </w:r>
          </w:p>
        </w:tc>
      </w:tr>
      <w:tr>
        <w:tc>
          <w:tcPr>
            <w:tcW w:type="dxa" w:w="1728"/>
          </w:tcPr>
          <w:p>
            <w:r>
              <w:rPr>
                <w:rFonts w:ascii="Calibri" w:hAnsi="Calibri"/>
                <w:sz w:val="22"/>
              </w:rPr>
              <w:t>May 29, 2026</w:t>
            </w:r>
          </w:p>
        </w:tc>
        <w:tc>
          <w:tcPr>
            <w:tcW w:type="dxa" w:w="1728"/>
          </w:tcPr>
          <w:p>
            <w:r>
              <w:rPr>
                <w:rFonts w:ascii="Calibri" w:hAnsi="Calibri"/>
                <w:sz w:val="22"/>
              </w:rPr>
              <w:t>109.6</w:t>
            </w:r>
          </w:p>
        </w:tc>
        <w:tc>
          <w:tcPr>
            <w:tcW w:type="dxa" w:w="1728"/>
          </w:tcPr>
          <w:p>
            <w:r>
              <w:rPr>
                <w:rFonts w:ascii="Calibri" w:hAnsi="Calibri"/>
                <w:sz w:val="22"/>
              </w:rPr>
              <w:t>100.9</w:t>
            </w:r>
          </w:p>
        </w:tc>
        <w:tc>
          <w:tcPr>
            <w:tcW w:type="dxa" w:w="1728"/>
          </w:tcPr>
          <w:p>
            <w:r>
              <w:rPr>
                <w:rFonts w:ascii="Calibri" w:hAnsi="Calibri"/>
                <w:sz w:val="22"/>
              </w:rPr>
              <w:t>105.1</w:t>
            </w:r>
          </w:p>
        </w:tc>
        <w:tc>
          <w:tcPr>
            <w:tcW w:type="dxa" w:w="1728"/>
          </w:tcPr>
          <w:p>
            <w:r>
              <w:rPr>
                <w:rFonts w:ascii="Calibri" w:hAnsi="Calibri"/>
                <w:sz w:val="22"/>
              </w:rPr>
              <w:t>Morgan Stanley US Financials Conference (ARES presented)</w:t>
            </w:r>
          </w:p>
        </w:tc>
      </w:tr>
      <w:tr>
        <w:tc>
          <w:tcPr>
            <w:tcW w:type="dxa" w:w="1728"/>
          </w:tcPr>
          <w:p>
            <w:r>
              <w:rPr>
                <w:rFonts w:ascii="Calibri" w:hAnsi="Calibri"/>
                <w:sz w:val="22"/>
              </w:rPr>
              <w:t>June 12, 2026 (Peak)</w:t>
            </w:r>
          </w:p>
        </w:tc>
        <w:tc>
          <w:tcPr>
            <w:tcW w:type="dxa" w:w="1728"/>
          </w:tcPr>
          <w:p>
            <w:r>
              <w:rPr>
                <w:rFonts w:ascii="Calibri" w:hAnsi="Calibri"/>
                <w:sz w:val="22"/>
              </w:rPr>
              <w:t>115.0</w:t>
            </w:r>
          </w:p>
        </w:tc>
        <w:tc>
          <w:tcPr>
            <w:tcW w:type="dxa" w:w="1728"/>
          </w:tcPr>
          <w:p>
            <w:r>
              <w:rPr>
                <w:rFonts w:ascii="Calibri" w:hAnsi="Calibri"/>
                <w:sz w:val="22"/>
              </w:rPr>
              <w:t>102.6</w:t>
            </w:r>
          </w:p>
        </w:tc>
        <w:tc>
          <w:tcPr>
            <w:tcW w:type="dxa" w:w="1728"/>
          </w:tcPr>
          <w:p>
            <w:r>
              <w:rPr>
                <w:rFonts w:ascii="Calibri" w:hAnsi="Calibri"/>
                <w:sz w:val="22"/>
              </w:rPr>
              <w:t>103.2</w:t>
            </w:r>
          </w:p>
        </w:tc>
        <w:tc>
          <w:tcPr>
            <w:tcW w:type="dxa" w:w="1728"/>
          </w:tcPr>
          <w:p>
            <w:r>
              <w:rPr>
                <w:rFonts w:ascii="Calibri" w:hAnsi="Calibri"/>
                <w:sz w:val="22"/>
              </w:rPr>
              <w:t>ARES peak since Q1 earnings; Pathfinder III hard-cap close June 10</w:t>
            </w:r>
          </w:p>
        </w:tc>
      </w:tr>
      <w:tr>
        <w:tc>
          <w:tcPr>
            <w:tcW w:type="dxa" w:w="1728"/>
          </w:tcPr>
          <w:p>
            <w:r>
              <w:rPr>
                <w:rFonts w:ascii="Calibri" w:hAnsi="Calibri"/>
                <w:sz w:val="22"/>
              </w:rPr>
              <w:t>June 30, 2026 (Quarter End)</w:t>
            </w:r>
          </w:p>
        </w:tc>
        <w:tc>
          <w:tcPr>
            <w:tcW w:type="dxa" w:w="1728"/>
          </w:tcPr>
          <w:p>
            <w:r>
              <w:rPr>
                <w:rFonts w:ascii="Calibri" w:hAnsi="Calibri"/>
                <w:sz w:val="22"/>
              </w:rPr>
              <w:t>94.8</w:t>
            </w:r>
          </w:p>
        </w:tc>
        <w:tc>
          <w:tcPr>
            <w:tcW w:type="dxa" w:w="1728"/>
          </w:tcPr>
          <w:p>
            <w:r>
              <w:rPr>
                <w:rFonts w:ascii="Calibri" w:hAnsi="Calibri"/>
                <w:sz w:val="22"/>
              </w:rPr>
              <w:t>97.6</w:t>
            </w:r>
          </w:p>
        </w:tc>
        <w:tc>
          <w:tcPr>
            <w:tcW w:type="dxa" w:w="1728"/>
          </w:tcPr>
          <w:p>
            <w:r>
              <w:rPr>
                <w:rFonts w:ascii="Calibri" w:hAnsi="Calibri"/>
                <w:sz w:val="22"/>
              </w:rPr>
              <w:t>103.9</w:t>
            </w:r>
          </w:p>
        </w:tc>
        <w:tc>
          <w:tcPr>
            <w:tcW w:type="dxa" w:w="1728"/>
          </w:tcPr>
          <w:p>
            <w:r>
              <w:rPr>
                <w:rFonts w:ascii="Calibri" w:hAnsi="Calibri"/>
                <w:sz w:val="22"/>
              </w:rPr>
              <w:t>ARES sold off sharply in late June; wealth channel redemption concerns intensified</w:t>
            </w:r>
          </w:p>
        </w:tc>
      </w:tr>
      <w:tr>
        <w:tc>
          <w:tcPr>
            <w:tcW w:type="dxa" w:w="1728"/>
          </w:tcPr>
          <w:p>
            <w:r>
              <w:rPr>
                <w:rFonts w:ascii="Calibri" w:hAnsi="Calibri"/>
                <w:sz w:val="22"/>
              </w:rPr>
              <w:t>July 9, 2026</w:t>
            </w:r>
          </w:p>
        </w:tc>
        <w:tc>
          <w:tcPr>
            <w:tcW w:type="dxa" w:w="1728"/>
          </w:tcPr>
          <w:p>
            <w:r>
              <w:rPr>
                <w:rFonts w:ascii="Calibri" w:hAnsi="Calibri"/>
                <w:sz w:val="22"/>
              </w:rPr>
              <w:t>103.6</w:t>
            </w:r>
          </w:p>
        </w:tc>
        <w:tc>
          <w:tcPr>
            <w:tcW w:type="dxa" w:w="1728"/>
          </w:tcPr>
          <w:p>
            <w:r>
              <w:rPr>
                <w:rFonts w:ascii="Calibri" w:hAnsi="Calibri"/>
                <w:sz w:val="22"/>
              </w:rPr>
              <w:t>103.5</w:t>
            </w:r>
          </w:p>
        </w:tc>
        <w:tc>
          <w:tcPr>
            <w:tcW w:type="dxa" w:w="1728"/>
          </w:tcPr>
          <w:p>
            <w:r>
              <w:rPr>
                <w:rFonts w:ascii="Calibri" w:hAnsi="Calibri"/>
                <w:sz w:val="22"/>
              </w:rPr>
              <w:t>104.6</w:t>
            </w:r>
          </w:p>
        </w:tc>
        <w:tc>
          <w:tcPr>
            <w:tcW w:type="dxa" w:w="1728"/>
          </w:tcPr>
          <w:p>
            <w:r>
              <w:rPr>
                <w:rFonts w:ascii="Calibri" w:hAnsi="Calibri"/>
                <w:sz w:val="22"/>
              </w:rPr>
              <w:t>8-K filed: Q2 2026 realized net performance income pre-announced &gt;$50M; stock rebounded</w:t>
            </w:r>
          </w:p>
        </w:tc>
      </w:tr>
      <w:tr>
        <w:tc>
          <w:tcPr>
            <w:tcW w:type="dxa" w:w="1728"/>
          </w:tcPr>
          <w:p>
            <w:r>
              <w:rPr>
                <w:rFonts w:ascii="Calibri" w:hAnsi="Calibri"/>
                <w:sz w:val="22"/>
              </w:rPr>
              <w:t>July 30, 2026 (Latest)</w:t>
            </w:r>
          </w:p>
        </w:tc>
        <w:tc>
          <w:tcPr>
            <w:tcW w:type="dxa" w:w="1728"/>
          </w:tcPr>
          <w:p>
            <w:r>
              <w:rPr>
                <w:rFonts w:ascii="Calibri" w:hAnsi="Calibri"/>
                <w:sz w:val="22"/>
              </w:rPr>
              <w:t>105.8</w:t>
            </w:r>
          </w:p>
        </w:tc>
        <w:tc>
          <w:tcPr>
            <w:tcW w:type="dxa" w:w="1728"/>
          </w:tcPr>
          <w:p>
            <w:r>
              <w:rPr>
                <w:rFonts w:ascii="Calibri" w:hAnsi="Calibri"/>
                <w:sz w:val="22"/>
              </w:rPr>
              <w:t>106.1</w:t>
            </w:r>
          </w:p>
        </w:tc>
        <w:tc>
          <w:tcPr>
            <w:tcW w:type="dxa" w:w="1728"/>
          </w:tcPr>
          <w:p>
            <w:r>
              <w:rPr>
                <w:rFonts w:ascii="Calibri" w:hAnsi="Calibri"/>
                <w:sz w:val="22"/>
              </w:rPr>
              <w:t>101.5</w:t>
            </w:r>
          </w:p>
        </w:tc>
        <w:tc>
          <w:tcPr>
            <w:tcW w:type="dxa" w:w="1728"/>
          </w:tcPr>
          <w:p>
            <w:r>
              <w:rPr>
                <w:rFonts w:ascii="Calibri" w:hAnsi="Calibri"/>
                <w:sz w:val="22"/>
              </w:rPr>
              <w:t>ARES recovered from June lows; now roughly in line with KCE; SPY lagged</w:t>
            </w:r>
          </w:p>
        </w:tc>
      </w:tr>
    </w:tbl>
    <w:p>
      <w:r>
        <w:rPr>
          <w:rFonts w:ascii="Calibri" w:hAnsi="Calibri"/>
          <w:b/>
          <w:color w:val="525866"/>
          <w:sz w:val="22"/>
        </w:rPr>
        <w:t xml:space="preserve">Performance Summary (May 1 – July 30, 2026): </w:t>
      </w:r>
      <w:r>
        <w:rPr>
          <w:rFonts w:ascii="Calibri" w:hAnsi="Calibri"/>
          <w:color w:val="525866"/>
          <w:sz w:val="22"/>
        </w:rPr>
        <w:t>ARES: +5.8% | KCE: +6.1% | SPY: +1.5%. ARES underperformed KCE by ~30 bps over the full period, but the path was highly volatile — ARES peaked at +15% in mid-June before a sharp late-June selloff (driven by wealth channel redemption headlines and broader risk-off) that took the stock to -5% before recovering on the July 9 performance income pre-announcement. The 12-month P/E multiple contracted from ~32x to ~18x NTM, with the 6-month decline of -17% almost entirely multiple-driven (-21% P/E compression vs. minimal estimate cuts). This suggests the stock is pricing in more fundamental deterioration than the data supports.</w:t>
      </w:r>
    </w:p>
    <w:p>
      <w:r>
        <w:rPr>
          <w:rFonts w:ascii="Calibri" w:hAnsi="Calibri"/>
          <w:b/>
          <w:color w:val="525866"/>
          <w:sz w:val="22"/>
        </w:rPr>
        <w:t xml:space="preserve">Source: </w:t>
      </w:r>
      <w:r>
        <w:rPr>
          <w:rFonts w:ascii="Calibri" w:hAnsi="Calibri"/>
          <w:color w:val="525866"/>
          <w:sz w:val="22"/>
        </w:rPr>
        <w:t>Stock Price Data (Yahoo Finance). Indexed to 100 at May 1, 2026 close ($119.00). KCE = SPDR S&amp;P Capital Markets ETF. SPY = SPDR S&amp;P 500 ETF.</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July 9, 2026 performance income pre-announcement</w:t>
      </w:r>
      <w:r>
        <w:rPr>
          <w:rFonts w:ascii="Calibri" w:hAnsi="Calibri"/>
          <w:color w:val="525866"/>
          <w:sz w:val="22"/>
        </w:rPr>
        <w:t xml:space="preserve"> (&gt;$50M realized net performance income for Q2 2026), which removes the biggest earnings uncertainty and signals a meaningful inflection in realized income after two consecutive large misses. The Pathfinder III hard-cap close and strong Q2 wealth inflows are secondary positives.</w:t>
      </w:r>
    </w:p>
    <w:p>
      <w:pPr>
        <w:pStyle w:val="ListBullet"/>
        <w:ind w:left="360" w:hanging="360"/>
      </w:pPr>
      <w:r>
        <w:rPr>
          <w:rFonts w:ascii="Calibri" w:hAnsi="Calibri"/>
          <w:b/>
          <w:color w:val="525866"/>
          <w:sz w:val="22"/>
        </w:rPr>
        <w:t>July 9, 2026 — 8-K: Q2 2026 Performance Income Pre-Announcement.</w:t>
      </w:r>
      <w:r>
        <w:rPr>
          <w:rFonts w:ascii="Calibri" w:hAnsi="Calibri"/>
          <w:color w:val="525866"/>
          <w:sz w:val="22"/>
        </w:rPr>
        <w:t xml:space="preserve"> Ares filed an 8-K disclosing a preliminary estimate that realized net performance income for the quarter ending June 30, 2026 (Q2 2026) is expected to be </w:t>
      </w:r>
      <w:r>
        <w:rPr>
          <w:rFonts w:ascii="Calibri" w:hAnsi="Calibri"/>
          <w:b/>
          <w:color w:val="525866"/>
          <w:sz w:val="22"/>
        </w:rPr>
        <w:t>in excess of $50 million</w:t>
      </w:r>
      <w:r>
        <w:rPr>
          <w:rFonts w:ascii="Calibri" w:hAnsi="Calibri"/>
          <w:color w:val="525866"/>
          <w:sz w:val="22"/>
        </w:rPr>
        <w:t xml:space="preserve">, compared to $16 million in Q2 2025 (+213% YoY). Management cautioned this is a preliminary estimate and actual results may differ materially. </w:t>
      </w:r>
      <w:r>
        <w:rPr>
          <w:rFonts w:ascii="Calibri" w:hAnsi="Calibri"/>
          <w:i/>
          <w:color w:val="525866"/>
          <w:sz w:val="22"/>
        </w:rPr>
        <w:t xml:space="preserve">Implication: </w:t>
      </w:r>
      <w:r>
        <w:rPr>
          <w:rFonts w:ascii="Calibri" w:hAnsi="Calibri"/>
          <w:i/>
          <w:color w:val="525866"/>
          <w:sz w:val="22"/>
        </w:rPr>
        <w:t>Removes the largest source of earnings uncertainty heading into the print; reduces downside risk on realized income consensus of $0.694/share.</w:t>
      </w:r>
    </w:p>
    <w:p>
      <w:pPr>
        <w:pStyle w:val="ListBullet"/>
        <w:ind w:left="360" w:hanging="360"/>
      </w:pPr>
      <w:r>
        <w:rPr>
          <w:rFonts w:ascii="Calibri" w:hAnsi="Calibri"/>
          <w:b/>
          <w:color w:val="525866"/>
          <w:sz w:val="22"/>
        </w:rPr>
        <w:t>July 10, 2026 — Press Release: Earnings Call Time Update.</w:t>
      </w:r>
      <w:r>
        <w:rPr>
          <w:rFonts w:ascii="Calibri" w:hAnsi="Calibri"/>
          <w:color w:val="525866"/>
          <w:sz w:val="22"/>
        </w:rPr>
        <w:t xml:space="preserve"> Ares updated the time of its Q2 2026 earnings conference call to 11:00 AM ET on July 31, 2026. </w:t>
      </w:r>
      <w:r>
        <w:rPr>
          <w:rFonts w:ascii="Calibri" w:hAnsi="Calibri"/>
          <w:i/>
          <w:color w:val="525866"/>
          <w:sz w:val="22"/>
        </w:rPr>
        <w:t xml:space="preserve">Implication: </w:t>
      </w:r>
      <w:r>
        <w:rPr>
          <w:rFonts w:ascii="Calibri" w:hAnsi="Calibri"/>
          <w:i/>
          <w:color w:val="525866"/>
          <w:sz w:val="22"/>
        </w:rPr>
        <w:t>Administrative; no financial content.</w:t>
      </w:r>
    </w:p>
    <w:p>
      <w:pPr>
        <w:pStyle w:val="ListBullet"/>
        <w:ind w:left="360" w:hanging="360"/>
      </w:pPr>
      <w:r>
        <w:rPr>
          <w:rFonts w:ascii="Calibri" w:hAnsi="Calibri"/>
          <w:b/>
          <w:color w:val="525866"/>
          <w:sz w:val="22"/>
        </w:rPr>
        <w:t>June 30, 2026 — Press Release: Q2 2026 Earnings Schedule.</w:t>
      </w:r>
      <w:r>
        <w:rPr>
          <w:rFonts w:ascii="Calibri" w:hAnsi="Calibri"/>
          <w:color w:val="525866"/>
          <w:sz w:val="22"/>
        </w:rPr>
        <w:t xml:space="preserve"> Ares scheduled its Q2 2026 earnings release and conference call for July 31, 2026. </w:t>
      </w:r>
      <w:r>
        <w:rPr>
          <w:rFonts w:ascii="Calibri" w:hAnsi="Calibri"/>
          <w:i/>
          <w:color w:val="525866"/>
          <w:sz w:val="22"/>
        </w:rPr>
        <w:t xml:space="preserve">Implication: </w:t>
      </w:r>
      <w:r>
        <w:rPr>
          <w:rFonts w:ascii="Calibri" w:hAnsi="Calibri"/>
          <w:i/>
          <w:color w:val="525866"/>
          <w:sz w:val="22"/>
        </w:rPr>
        <w:t>Confirms reporting timeline.</w:t>
      </w:r>
    </w:p>
    <w:p>
      <w:pPr>
        <w:pStyle w:val="ListBullet"/>
        <w:ind w:left="360" w:hanging="360"/>
      </w:pPr>
      <w:r>
        <w:rPr>
          <w:rFonts w:ascii="Calibri" w:hAnsi="Calibri"/>
          <w:b/>
          <w:color w:val="525866"/>
          <w:sz w:val="22"/>
        </w:rPr>
        <w:t>June 10, 2026 — Pathfinder III (ABF Fund) Hard-Cap Close.</w:t>
      </w:r>
      <w:r>
        <w:rPr>
          <w:rFonts w:ascii="Calibri" w:hAnsi="Calibri"/>
          <w:color w:val="525866"/>
          <w:sz w:val="22"/>
        </w:rPr>
        <w:t xml:space="preserve"> Ares Pathfinder Fund III, the firm's alternative credit/asset-based finance strategy, held its first and final close at its hard cap, raised in less than six months. Approximately $4 billion of capital from prior fund investors also extended duration alongside the close, bringing total capital committed to the strategy to approximately </w:t>
      </w:r>
      <w:r>
        <w:rPr>
          <w:rFonts w:ascii="Calibri" w:hAnsi="Calibri"/>
          <w:b/>
          <w:color w:val="525866"/>
          <w:sz w:val="22"/>
        </w:rPr>
        <w:t>$12.5 billion</w:t>
      </w:r>
      <w:r>
        <w:rPr>
          <w:rFonts w:ascii="Calibri" w:hAnsi="Calibri"/>
          <w:color w:val="525866"/>
          <w:sz w:val="22"/>
        </w:rPr>
        <w:t xml:space="preserve"> — the largest global ABF fund in the market. </w:t>
      </w:r>
      <w:r>
        <w:rPr>
          <w:rFonts w:ascii="Calibri" w:hAnsi="Calibri"/>
          <w:i/>
          <w:color w:val="525866"/>
          <w:sz w:val="22"/>
        </w:rPr>
        <w:t xml:space="preserve">Implication: </w:t>
      </w:r>
      <w:r>
        <w:rPr>
          <w:rFonts w:ascii="Calibri" w:hAnsi="Calibri"/>
          <w:i/>
          <w:color w:val="525866"/>
          <w:sz w:val="22"/>
        </w:rPr>
        <w:t>Significant positive for Q2 fundraising totals and FPAUM; demonstrates institutional demand for Ares's ABF platform remains robust despite broader private credit concerns.</w:t>
      </w:r>
    </w:p>
    <w:p>
      <w:pPr>
        <w:pStyle w:val="ListBullet"/>
        <w:ind w:left="360" w:hanging="360"/>
      </w:pPr>
      <w:r>
        <w:rPr>
          <w:rFonts w:ascii="Calibri" w:hAnsi="Calibri"/>
          <w:b/>
          <w:color w:val="525866"/>
          <w:sz w:val="22"/>
        </w:rPr>
        <w:t>June 11, 2026 — Annual Meeting: Directors Elected, Auditor Ratified.</w:t>
      </w:r>
      <w:r>
        <w:rPr>
          <w:rFonts w:ascii="Calibri" w:hAnsi="Calibri"/>
          <w:color w:val="525866"/>
          <w:sz w:val="22"/>
        </w:rPr>
        <w:t xml:space="preserve"> Routine governance event. </w:t>
      </w:r>
      <w:r>
        <w:rPr>
          <w:rFonts w:ascii="Calibri" w:hAnsi="Calibri"/>
          <w:i/>
          <w:color w:val="525866"/>
          <w:sz w:val="22"/>
        </w:rPr>
        <w:t xml:space="preserve">Implication: </w:t>
      </w:r>
      <w:r>
        <w:rPr>
          <w:rFonts w:ascii="Calibri" w:hAnsi="Calibri"/>
          <w:i/>
          <w:color w:val="525866"/>
          <w:sz w:val="22"/>
        </w:rPr>
        <w:t>No financial impact.</w:t>
      </w:r>
    </w:p>
    <w:p>
      <w:pPr>
        <w:pStyle w:val="ListBullet"/>
        <w:ind w:left="360" w:hanging="360"/>
      </w:pPr>
      <w:r>
        <w:rPr>
          <w:rFonts w:ascii="Calibri" w:hAnsi="Calibri"/>
          <w:b/>
          <w:color w:val="525866"/>
          <w:sz w:val="22"/>
        </w:rPr>
        <w:t>May 29, 2026 — Morgan Stanley US Financials Conference.</w:t>
      </w:r>
      <w:r>
        <w:rPr>
          <w:rFonts w:ascii="Calibri" w:hAnsi="Calibri"/>
          <w:color w:val="525866"/>
          <w:sz w:val="22"/>
        </w:rPr>
        <w:t xml:space="preserve"> Ares presented at the Morgan Stanley US Financials Conference. Management commentary (per summary knowledge) confirmed: US direct lending picking up as of late May; terms shifting in lenders' favor (incremental spread, fee improvements, reduced leverage); four most active Q2 deployment areas are European DL, ABF, digital infra, and secondaries; BDC credit facilities renewed and upsized with extended maturities to 2031 and reduced borrowing costs. </w:t>
      </w:r>
      <w:r>
        <w:rPr>
          <w:rFonts w:ascii="Calibri" w:hAnsi="Calibri"/>
          <w:i/>
          <w:color w:val="525866"/>
          <w:sz w:val="22"/>
        </w:rPr>
        <w:t xml:space="preserve">Implication: </w:t>
      </w:r>
      <w:r>
        <w:rPr>
          <w:rFonts w:ascii="Calibri" w:hAnsi="Calibri"/>
          <w:i/>
          <w:color w:val="525866"/>
          <w:sz w:val="22"/>
        </w:rPr>
        <w:t>Positive for Q2 deployment and credit quality narrative.</w:t>
      </w:r>
    </w:p>
    <w:p>
      <w:pPr>
        <w:pStyle w:val="ListBullet"/>
        <w:ind w:left="360" w:hanging="360"/>
      </w:pPr>
      <w:r>
        <w:rPr>
          <w:rFonts w:ascii="Calibri" w:hAnsi="Calibri"/>
          <w:b/>
          <w:color w:val="525866"/>
          <w:sz w:val="22"/>
        </w:rPr>
        <w:t>May 28, 2026 — Goldman Sachs European Financials Conference.</w:t>
      </w:r>
      <w:r>
        <w:rPr>
          <w:rFonts w:ascii="Calibri" w:hAnsi="Calibri"/>
          <w:color w:val="525866"/>
          <w:sz w:val="22"/>
        </w:rPr>
        <w:t xml:space="preserve"> Ares also presented at the Goldman Sachs European Financials Conference. </w:t>
      </w:r>
      <w:r>
        <w:rPr>
          <w:rFonts w:ascii="Calibri" w:hAnsi="Calibri"/>
          <w:i/>
          <w:color w:val="525866"/>
          <w:sz w:val="22"/>
        </w:rPr>
        <w:t xml:space="preserve">Implication: </w:t>
      </w:r>
      <w:r>
        <w:rPr>
          <w:rFonts w:ascii="Calibri" w:hAnsi="Calibri"/>
          <w:i/>
          <w:color w:val="525866"/>
          <w:sz w:val="22"/>
        </w:rPr>
        <w:t>Consistent with active investor engagement; European DL described as a key growth driver.</w:t>
      </w:r>
    </w:p>
    <w:p>
      <w:pPr>
        <w:pStyle w:val="ListBullet"/>
        <w:ind w:left="360" w:hanging="360"/>
      </w:pPr>
      <w:r>
        <w:rPr>
          <w:rFonts w:ascii="Calibri" w:hAnsi="Calibri"/>
          <w:b/>
          <w:color w:val="525866"/>
          <w:sz w:val="22"/>
        </w:rPr>
        <w:t>Q2 2026 (Ongoing) — Wealth Channel Inflows Recovery.</w:t>
      </w:r>
      <w:r>
        <w:rPr>
          <w:rFonts w:ascii="Calibri" w:hAnsi="Calibri"/>
          <w:color w:val="525866"/>
          <w:sz w:val="22"/>
        </w:rPr>
        <w:t xml:space="preserve"> Per management commentary, Q2 2026 gross wealth inflows totaled approximately </w:t>
      </w:r>
      <w:r>
        <w:rPr>
          <w:rFonts w:ascii="Calibri" w:hAnsi="Calibri"/>
          <w:b/>
          <w:color w:val="525866"/>
          <w:sz w:val="22"/>
        </w:rPr>
        <w:t>$3.6 billion</w:t>
      </w:r>
      <w:r>
        <w:rPr>
          <w:rFonts w:ascii="Calibri" w:hAnsi="Calibri"/>
          <w:color w:val="525866"/>
          <w:sz w:val="22"/>
        </w:rPr>
        <w:t xml:space="preserve">, roughly in line with Q1 2026 levels despite ongoing private credit redemption concerns. The core infrastructure wealth product raised approximately $1.9 billion in Q2 alone, including ~$850 million in June. </w:t>
      </w:r>
      <w:r>
        <w:rPr>
          <w:rFonts w:ascii="Calibri" w:hAnsi="Calibri"/>
          <w:i/>
          <w:color w:val="525866"/>
          <w:sz w:val="22"/>
        </w:rPr>
        <w:t xml:space="preserve">Implication: </w:t>
      </w:r>
      <w:r>
        <w:rPr>
          <w:rFonts w:ascii="Calibri" w:hAnsi="Calibri"/>
          <w:i/>
          <w:color w:val="525866"/>
          <w:sz w:val="22"/>
        </w:rPr>
        <w:t>Positive for FPAUM and wealth AUM narrative; suggests the redemption headwind is being offset by diversified product inflows.</w:t>
      </w:r>
    </w:p>
    <w:p>
      <w:pPr>
        <w:pStyle w:val="ListBullet"/>
        <w:ind w:left="360" w:hanging="360"/>
      </w:pPr>
      <w:r>
        <w:rPr>
          <w:rFonts w:ascii="Calibri" w:hAnsi="Calibri"/>
          <w:b/>
          <w:color w:val="525866"/>
          <w:sz w:val="22"/>
        </w:rPr>
        <w:t>Q2 2026 — Digital Infrastructure Fund First Close (Expected).</w:t>
      </w:r>
      <w:r>
        <w:rPr>
          <w:rFonts w:ascii="Calibri" w:hAnsi="Calibri"/>
          <w:color w:val="525866"/>
          <w:sz w:val="22"/>
        </w:rPr>
        <w:t xml:space="preserve"> Management guided for a significant first close of the global data center equity fund in summer 2026. This fund charges on committed capital, meaning the first close would immediately begin contributing to FPAUM and management fees. </w:t>
      </w:r>
      <w:r>
        <w:rPr>
          <w:rFonts w:ascii="Calibri" w:hAnsi="Calibri"/>
          <w:i/>
          <w:color w:val="525866"/>
          <w:sz w:val="22"/>
        </w:rPr>
        <w:t xml:space="preserve">Implication: </w:t>
      </w:r>
      <w:r>
        <w:rPr>
          <w:rFonts w:ascii="Calibri" w:hAnsi="Calibri"/>
          <w:i/>
          <w:color w:val="525866"/>
          <w:sz w:val="22"/>
        </w:rPr>
        <w:t>Key catalyst for Q2 FPAUM beat; also transitions GCP from a negative to a positive FRE contributor.</w:t>
      </w:r>
    </w:p>
    <w:p>
      <w:pPr>
        <w:pStyle w:val="ListBullet"/>
        <w:ind w:left="360" w:hanging="360"/>
      </w:pPr>
      <w:r>
        <w:rPr>
          <w:rFonts w:ascii="Calibri" w:hAnsi="Calibri"/>
          <w:b/>
          <w:color w:val="525866"/>
          <w:sz w:val="22"/>
        </w:rPr>
        <w:t>February 2026 — BlueCove Acquisition Completed.</w:t>
      </w:r>
      <w:r>
        <w:rPr>
          <w:rFonts w:ascii="Calibri" w:hAnsi="Calibri"/>
          <w:color w:val="525866"/>
          <w:sz w:val="22"/>
        </w:rPr>
        <w:t xml:space="preserve"> Ares completed the acquisition of BlueCove, adding systematic fixed income capabilities to the platform. </w:t>
      </w:r>
      <w:r>
        <w:rPr>
          <w:rFonts w:ascii="Calibri" w:hAnsi="Calibri"/>
          <w:i/>
          <w:color w:val="525866"/>
          <w:sz w:val="22"/>
        </w:rPr>
        <w:t xml:space="preserve">Implication: </w:t>
      </w:r>
      <w:r>
        <w:rPr>
          <w:rFonts w:ascii="Calibri" w:hAnsi="Calibri"/>
          <w:i/>
          <w:color w:val="525866"/>
          <w:sz w:val="22"/>
        </w:rPr>
        <w:t>Incremental AUM and revenue contribution beginning in Q1 2026; modest but positive for diversification narrative.</w:t>
      </w:r>
    </w:p>
    <w:p>
      <w:r>
        <w:br w:type="page"/>
      </w:r>
    </w:p>
    <w:p>
      <w:pPr>
        <w:pStyle w:val="Heading2"/>
      </w:pPr>
      <w:r>
        <w:rPr>
          <w:rFonts w:ascii="Calibri" w:hAnsi="Calibri"/>
          <w:b/>
          <w:color w:val="3B4259"/>
          <w:sz w:val="28"/>
        </w:rPr>
        <w:t>7. Peer Commentary &amp; Q2 2026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 for Ares's Q2 2026 setup</w:t>
      </w:r>
      <w:r>
        <w:rPr>
          <w:rFonts w:ascii="Calibri" w:hAnsi="Calibri"/>
          <w:color w:val="525866"/>
          <w:sz w:val="22"/>
        </w:rPr>
        <w:t xml:space="preserve"> — Blackstone and KKR both reported record or near-record fundraising and strong credit performance, wealth channel redemptions are stabilizing across the industry, and digital infrastructure demand remains exceptional. The most direct read-through is Blue Owl's same-day Q2 2026 earnings (July 30), which showed a &gt;50% sequential increase in evergreen inflows and declining redemption requests — a positive leading indicator for Ares's wealth narrative.</w:t>
      </w:r>
    </w:p>
    <w:p>
      <w:r>
        <w:rPr>
          <w:rFonts w:ascii="Calibri" w:hAnsi="Calibri"/>
          <w:b/>
          <w:color w:val="525866"/>
          <w:sz w:val="22"/>
        </w:rPr>
        <w:t xml:space="preserve">Scope: </w:t>
      </w:r>
      <w:r>
        <w:rPr>
          <w:rFonts w:ascii="Calibri" w:hAnsi="Calibri"/>
          <w:i/>
          <w:color w:val="525866"/>
          <w:sz w:val="22"/>
        </w:rPr>
        <w:t>Only commentary made in the last 60 days (on or after May 30, 2026) that concerns Q2 2026 or the forward outlook is included below. Retrospective Q1 2026 result observations are excluded.</w:t>
      </w:r>
    </w:p>
    <w:p>
      <w:pPr>
        <w:pStyle w:val="Heading3"/>
      </w:pPr>
      <w:r>
        <w:rPr>
          <w:rFonts w:ascii="Calibri" w:hAnsi="Calibri"/>
          <w:b/>
          <w:color w:val="3B4259"/>
          <w:sz w:val="24"/>
        </w:rPr>
        <w:t>Blue Owl Capital (OWL) — Q2 2026 Earnings Call, July 30, 2026</w:t>
      </w:r>
    </w:p>
    <w:p>
      <w:r>
        <w:rPr>
          <w:rFonts w:ascii="Calibri" w:hAnsi="Calibri"/>
          <w:b/>
          <w:color w:val="525866"/>
          <w:sz w:val="22"/>
        </w:rPr>
        <w:t xml:space="preserve">Relevance: </w:t>
      </w:r>
      <w:r>
        <w:rPr>
          <w:rFonts w:ascii="Calibri" w:hAnsi="Calibri"/>
          <w:color w:val="525866"/>
          <w:sz w:val="22"/>
        </w:rPr>
        <w:t>OWL is Ares's closest public peer in private credit and direct lending. Reports on the same day (July 30, 2026), making this the most timely and direct read-through available.</w:t>
      </w:r>
    </w:p>
    <w:p>
      <w:pPr>
        <w:pStyle w:val="ListBullet"/>
        <w:ind w:left="360" w:hanging="360"/>
      </w:pPr>
      <w:r>
        <w:rPr>
          <w:rFonts w:ascii="Calibri" w:hAnsi="Calibri"/>
          <w:b/>
          <w:color w:val="525866"/>
          <w:sz w:val="22"/>
        </w:rPr>
        <w:t>Wealth Channel Bottoming — Positive Read-Through for ARES:</w:t>
      </w:r>
      <w:r>
        <w:rPr>
          <w:rFonts w:ascii="Calibri" w:hAnsi="Calibri"/>
          <w:color w:val="525866"/>
          <w:sz w:val="22"/>
        </w:rPr>
        <w:t xml:space="preserve"> OWL stated it believes it has seen a </w:t>
      </w:r>
      <w:r>
        <w:rPr>
          <w:rFonts w:ascii="Calibri" w:hAnsi="Calibri"/>
          <w:b/>
          <w:color w:val="525866"/>
          <w:sz w:val="22"/>
        </w:rPr>
        <w:t>bottoming of evergreen inflows</w:t>
      </w:r>
      <w:r>
        <w:rPr>
          <w:rFonts w:ascii="Calibri" w:hAnsi="Calibri"/>
          <w:color w:val="525866"/>
          <w:sz w:val="22"/>
        </w:rPr>
        <w:t xml:space="preserve"> at the May 1 close, with a </w:t>
      </w:r>
      <w:r>
        <w:rPr>
          <w:rFonts w:ascii="Calibri" w:hAnsi="Calibri"/>
          <w:b/>
          <w:color w:val="525866"/>
          <w:sz w:val="22"/>
        </w:rPr>
        <w:t>&gt;50% increase in evergreen inflows for the July 1 close vs. the May 1 close</w:t>
      </w:r>
      <w:r>
        <w:rPr>
          <w:rFonts w:ascii="Calibri" w:hAnsi="Calibri"/>
          <w:color w:val="525866"/>
          <w:sz w:val="22"/>
        </w:rPr>
        <w:t xml:space="preserve">. Redemption requests in non-traded BDCs declined modestly in Q2, and for the second consecutive quarter, 90% of OCI C fund investors did not request any redemptions. The small shareholder base requesting redemptions remained largely unchanged with very limited new participation. </w:t>
      </w:r>
      <w:r>
        <w:rPr>
          <w:rFonts w:ascii="Calibri" w:hAnsi="Calibri"/>
          <w:i/>
          <w:color w:val="525866"/>
          <w:sz w:val="22"/>
        </w:rPr>
        <w:t xml:space="preserve">Read-through: </w:t>
      </w:r>
      <w:r>
        <w:rPr>
          <w:rFonts w:ascii="Calibri" w:hAnsi="Calibri"/>
          <w:i/>
          <w:color w:val="525866"/>
          <w:sz w:val="22"/>
        </w:rPr>
        <w:t>Directly positive for Ares's non-traded BDC and wealth channel narrative; suggests the industry-wide redemption cycle is stabilizing, which should reduce the overhang on ARES shares.</w:t>
      </w:r>
    </w:p>
    <w:p>
      <w:pPr>
        <w:pStyle w:val="ListBullet"/>
        <w:ind w:left="360" w:hanging="360"/>
      </w:pPr>
      <w:r>
        <w:rPr>
          <w:rFonts w:ascii="Calibri" w:hAnsi="Calibri"/>
          <w:b/>
          <w:color w:val="525866"/>
          <w:sz w:val="22"/>
        </w:rPr>
        <w:t>Institutional Fundraising Strength — Positive Read-Through:</w:t>
      </w:r>
      <w:r>
        <w:rPr>
          <w:rFonts w:ascii="Calibri" w:hAnsi="Calibri"/>
          <w:color w:val="525866"/>
          <w:sz w:val="22"/>
        </w:rPr>
        <w:t xml:space="preserve"> OWL raised $7.8B of total capital in Q2 2026, with institutional and insurance investors comprising ~75% of equity capital raised. Institutional flows were </w:t>
      </w:r>
      <w:r>
        <w:rPr>
          <w:rFonts w:ascii="Calibri" w:hAnsi="Calibri"/>
          <w:b/>
          <w:color w:val="525866"/>
          <w:sz w:val="22"/>
        </w:rPr>
        <w:t>more than 30% higher year-over-year</w:t>
      </w:r>
      <w:r>
        <w:rPr>
          <w:rFonts w:ascii="Calibri" w:hAnsi="Calibri"/>
          <w:color w:val="525866"/>
          <w:sz w:val="22"/>
        </w:rPr>
        <w:t xml:space="preserve">. OWL confirmed institutional interest in private credit and direct lending has picked up, with some large mandates very advanced. </w:t>
      </w:r>
      <w:r>
        <w:rPr>
          <w:rFonts w:ascii="Calibri" w:hAnsi="Calibri"/>
          <w:i/>
          <w:color w:val="525866"/>
          <w:sz w:val="22"/>
        </w:rPr>
        <w:t xml:space="preserve">Read-through: </w:t>
      </w:r>
      <w:r>
        <w:rPr>
          <w:rFonts w:ascii="Calibri" w:hAnsi="Calibri"/>
          <w:i/>
          <w:color w:val="525866"/>
          <w:sz w:val="22"/>
        </w:rPr>
        <w:t>Consistent with Ares's own commentary on institutional demand; supports the view that the institutional channel is absorbing any wealth channel softness.</w:t>
      </w:r>
    </w:p>
    <w:p>
      <w:pPr>
        <w:pStyle w:val="ListBullet"/>
        <w:ind w:left="360" w:hanging="360"/>
      </w:pPr>
      <w:r>
        <w:rPr>
          <w:rFonts w:ascii="Calibri" w:hAnsi="Calibri"/>
          <w:b/>
          <w:color w:val="525866"/>
          <w:sz w:val="22"/>
        </w:rPr>
        <w:t>Credit Quality Remains Strong — Positive Read-Through:</w:t>
      </w:r>
      <w:r>
        <w:rPr>
          <w:rFonts w:ascii="Calibri" w:hAnsi="Calibri"/>
          <w:color w:val="525866"/>
          <w:sz w:val="22"/>
        </w:rPr>
        <w:t xml:space="preserve"> OWL reported a 12 bps average annual loss rate in direct lending, with no meaningful change in its watch list vs. a year ago, and a net gain in its technology lending book. Portfolio companies growing at mid-to-high single-digit pace. </w:t>
      </w:r>
      <w:r>
        <w:rPr>
          <w:rFonts w:ascii="Calibri" w:hAnsi="Calibri"/>
          <w:i/>
          <w:color w:val="525866"/>
          <w:sz w:val="22"/>
        </w:rPr>
        <w:t xml:space="preserve">Read-through: </w:t>
      </w:r>
      <w:r>
        <w:rPr>
          <w:rFonts w:ascii="Calibri" w:hAnsi="Calibri"/>
          <w:i/>
          <w:color w:val="525866"/>
          <w:sz w:val="22"/>
        </w:rPr>
        <w:t>Consistent with Ares's own credit quality commentary; reduces risk of negative credit surprises in Q2.</w:t>
      </w:r>
    </w:p>
    <w:p>
      <w:pPr>
        <w:pStyle w:val="ListBullet"/>
        <w:ind w:left="360" w:hanging="360"/>
      </w:pPr>
      <w:r>
        <w:rPr>
          <w:rFonts w:ascii="Calibri" w:hAnsi="Calibri"/>
          <w:b/>
          <w:color w:val="525866"/>
          <w:sz w:val="22"/>
        </w:rPr>
        <w:t>Industry K-Shaped Divergence — Mixed Read-Through:</w:t>
      </w:r>
      <w:r>
        <w:rPr>
          <w:rFonts w:ascii="Calibri" w:hAnsi="Calibri"/>
          <w:color w:val="525866"/>
          <w:sz w:val="22"/>
        </w:rPr>
        <w:t xml:space="preserve"> OWL noted it expects further dispersion among upper middle market managers, with upper middle market outperforming lower middle market. Direct lending deployment described as running at roughly net zero, consistent with peers. M&amp;A market on the PE side described as a tepid environment. </w:t>
      </w:r>
      <w:r>
        <w:rPr>
          <w:rFonts w:ascii="Calibri" w:hAnsi="Calibri"/>
          <w:i/>
          <w:color w:val="525866"/>
          <w:sz w:val="22"/>
        </w:rPr>
        <w:t xml:space="preserve">Read-through: </w:t>
      </w:r>
      <w:r>
        <w:rPr>
          <w:rFonts w:ascii="Calibri" w:hAnsi="Calibri"/>
          <w:i/>
          <w:color w:val="525866"/>
          <w:sz w:val="22"/>
        </w:rPr>
        <w:t>Neutral for Ares; confirms the deployment environment is moderate but not deteriorating, consistent with management's back-half acceleration thesis.</w:t>
      </w:r>
    </w:p>
    <w:p>
      <w:pPr>
        <w:pStyle w:val="ListBullet"/>
        <w:ind w:left="360" w:hanging="360"/>
      </w:pPr>
      <w:r>
        <w:rPr>
          <w:rFonts w:ascii="Calibri" w:hAnsi="Calibri"/>
          <w:b/>
          <w:color w:val="525866"/>
          <w:sz w:val="22"/>
        </w:rPr>
        <w:t>Digital Infrastructure Demand Exceptional — Positive Read-Through:</w:t>
      </w:r>
      <w:r>
        <w:rPr>
          <w:rFonts w:ascii="Calibri" w:hAnsi="Calibri"/>
          <w:color w:val="525866"/>
          <w:sz w:val="22"/>
        </w:rPr>
        <w:t xml:space="preserve"> OWL reported nearly $160B of near-term opportunities across net lease and digital infrastructure, with strong co-invest interest in data centers. OWL's next digital infrastructure flagship expecting its first close later in 2026. </w:t>
      </w:r>
      <w:r>
        <w:rPr>
          <w:rFonts w:ascii="Calibri" w:hAnsi="Calibri"/>
          <w:i/>
          <w:color w:val="525866"/>
          <w:sz w:val="22"/>
        </w:rPr>
        <w:t xml:space="preserve">Read-through: </w:t>
      </w:r>
      <w:r>
        <w:rPr>
          <w:rFonts w:ascii="Calibri" w:hAnsi="Calibri"/>
          <w:i/>
          <w:color w:val="525866"/>
          <w:sz w:val="22"/>
        </w:rPr>
        <w:t>Validates Ares's digital infrastructure strategy and the demand environment for the GCP data center fund first close.</w:t>
      </w:r>
    </w:p>
    <w:p>
      <w:pPr>
        <w:pStyle w:val="ListBullet"/>
        <w:ind w:left="360" w:hanging="360"/>
      </w:pPr>
      <w:r>
        <w:rPr>
          <w:rFonts w:ascii="Calibri" w:hAnsi="Calibri"/>
          <w:b/>
          <w:color w:val="525866"/>
          <w:sz w:val="22"/>
        </w:rPr>
        <w:t>OWL Reaffirmed 2026 Guidance Beat:</w:t>
      </w:r>
      <w:r>
        <w:rPr>
          <w:rFonts w:ascii="Calibri" w:hAnsi="Calibri"/>
          <w:color w:val="525866"/>
          <w:sz w:val="22"/>
        </w:rPr>
        <w:t xml:space="preserve"> OWL's CFO reaffirmed that the firm expects to beat Visible Alpha consensus estimates for 2026 (FRE/share of $1.32 and DE/share of $0.89). </w:t>
      </w:r>
      <w:r>
        <w:rPr>
          <w:rFonts w:ascii="Calibri" w:hAnsi="Calibri"/>
          <w:i/>
          <w:color w:val="525866"/>
          <w:sz w:val="22"/>
        </w:rPr>
        <w:t xml:space="preserve">Read-through: </w:t>
      </w:r>
      <w:r>
        <w:rPr>
          <w:rFonts w:ascii="Calibri" w:hAnsi="Calibri"/>
          <w:i/>
          <w:color w:val="525866"/>
          <w:sz w:val="22"/>
        </w:rPr>
        <w:t>Positive sector sentiment; suggests the alternative asset manager group broadly is tracking ahead of consensus.</w:t>
      </w:r>
    </w:p>
    <w:p>
      <w:pPr>
        <w:pStyle w:val="Heading3"/>
      </w:pPr>
      <w:r>
        <w:rPr>
          <w:rFonts w:ascii="Calibri" w:hAnsi="Calibri"/>
          <w:b/>
          <w:color w:val="3B4259"/>
          <w:sz w:val="24"/>
        </w:rPr>
        <w:t>Blackstone (BX) — Q2 2026 Earnings Call, July 23, 2026</w:t>
      </w:r>
    </w:p>
    <w:p>
      <w:r>
        <w:rPr>
          <w:rFonts w:ascii="Calibri" w:hAnsi="Calibri"/>
          <w:b/>
          <w:color w:val="525866"/>
          <w:sz w:val="22"/>
        </w:rPr>
        <w:t xml:space="preserve">Relevance: </w:t>
      </w:r>
      <w:r>
        <w:rPr>
          <w:rFonts w:ascii="Calibri" w:hAnsi="Calibri"/>
          <w:color w:val="525866"/>
          <w:sz w:val="22"/>
        </w:rPr>
        <w:t>BX is the largest alternative asset manager globally and a key bellwether for the sector. Its Q2 2026 results (reported July 23) provide the most comprehensive forward read-through for Ares.</w:t>
      </w:r>
    </w:p>
    <w:p>
      <w:pPr>
        <w:pStyle w:val="ListBullet"/>
        <w:ind w:left="360" w:hanging="360"/>
      </w:pPr>
      <w:r>
        <w:rPr>
          <w:rFonts w:ascii="Calibri" w:hAnsi="Calibri"/>
          <w:b/>
          <w:color w:val="525866"/>
          <w:sz w:val="22"/>
        </w:rPr>
        <w:t>Record Fundraising and AUM Growth — Positive Read-Through:</w:t>
      </w:r>
      <w:r>
        <w:rPr>
          <w:rFonts w:ascii="Calibri" w:hAnsi="Calibri"/>
          <w:color w:val="525866"/>
          <w:sz w:val="22"/>
        </w:rPr>
        <w:t xml:space="preserve"> BX reported total inflows of nearly $70B in Q2 2026 and over $260B for the last 12 months, lifting AUM 11% YoY to a record $1.35 trillion. FRE grew 22% YoY to $1.8B. </w:t>
      </w:r>
      <w:r>
        <w:rPr>
          <w:rFonts w:ascii="Calibri" w:hAnsi="Calibri"/>
          <w:i/>
          <w:color w:val="525866"/>
          <w:sz w:val="22"/>
        </w:rPr>
        <w:t xml:space="preserve">Read-through: </w:t>
      </w:r>
      <w:r>
        <w:rPr>
          <w:rFonts w:ascii="Calibri" w:hAnsi="Calibri"/>
          <w:i/>
          <w:color w:val="525866"/>
          <w:sz w:val="22"/>
        </w:rPr>
        <w:t>Validates the broad institutional demand environment that Ares is also benefiting from; supports the record fundraising narrative.</w:t>
      </w:r>
    </w:p>
    <w:p>
      <w:pPr>
        <w:pStyle w:val="ListBullet"/>
        <w:ind w:left="360" w:hanging="360"/>
      </w:pPr>
      <w:r>
        <w:rPr>
          <w:rFonts w:ascii="Calibri" w:hAnsi="Calibri"/>
          <w:b/>
          <w:color w:val="525866"/>
          <w:sz w:val="22"/>
        </w:rPr>
        <w:t>Private Wealth Recovery — Positive Read-Through:</w:t>
      </w:r>
      <w:r>
        <w:rPr>
          <w:rFonts w:ascii="Calibri" w:hAnsi="Calibri"/>
          <w:color w:val="525866"/>
          <w:sz w:val="22"/>
        </w:rPr>
        <w:t xml:space="preserve"> BX's private wealth AUM grew 16% YoY to a record $324B. BREIT repurchases declined 42% YoY and 33% sequentially from Q1, resulting in the best regular-way net flows in nearly four years. BCRED redemption requests are </w:t>
      </w:r>
      <w:r>
        <w:rPr>
          <w:rFonts w:ascii="Calibri" w:hAnsi="Calibri"/>
          <w:b/>
          <w:color w:val="525866"/>
          <w:sz w:val="22"/>
        </w:rPr>
        <w:t>down materially early in Q3</w:t>
      </w:r>
      <w:r>
        <w:rPr>
          <w:rFonts w:ascii="Calibri" w:hAnsi="Calibri"/>
          <w:color w:val="525866"/>
          <w:sz w:val="22"/>
        </w:rPr>
        <w:t xml:space="preserve">. BXP (private equity wealth vehicle) raised $2.4B in Q2, with June being its best sales month since launch. </w:t>
      </w:r>
      <w:r>
        <w:rPr>
          <w:rFonts w:ascii="Calibri" w:hAnsi="Calibri"/>
          <w:i/>
          <w:color w:val="525866"/>
          <w:sz w:val="22"/>
        </w:rPr>
        <w:t xml:space="preserve">Read-through: </w:t>
      </w:r>
      <w:r>
        <w:rPr>
          <w:rFonts w:ascii="Calibri" w:hAnsi="Calibri"/>
          <w:i/>
          <w:color w:val="525866"/>
          <w:sz w:val="22"/>
        </w:rPr>
        <w:t>Directly positive for Ares's wealth channel narrative; BX's BREIT recovery is the closest analog to Ares's non-traded REIT and BDC situation.</w:t>
      </w:r>
    </w:p>
    <w:p>
      <w:pPr>
        <w:pStyle w:val="ListBullet"/>
        <w:ind w:left="360" w:hanging="360"/>
      </w:pPr>
      <w:r>
        <w:rPr>
          <w:rFonts w:ascii="Calibri" w:hAnsi="Calibri"/>
          <w:b/>
          <w:color w:val="525866"/>
          <w:sz w:val="22"/>
        </w:rPr>
        <w:t>Infrastructure AUM Rocket Ship — Positive Read-Through:</w:t>
      </w:r>
      <w:r>
        <w:rPr>
          <w:rFonts w:ascii="Calibri" w:hAnsi="Calibri"/>
          <w:color w:val="525866"/>
          <w:sz w:val="22"/>
        </w:rPr>
        <w:t xml:space="preserve"> BX's infrastructure AUM grew 40% YoY to $90B, with the private wealth infra vehicle raising ~$900M in Q2. The dedicated infrastructure platform appreciated 7.2% in Q2 and 29% over the last 12 months. </w:t>
      </w:r>
      <w:r>
        <w:rPr>
          <w:rFonts w:ascii="Calibri" w:hAnsi="Calibri"/>
          <w:i/>
          <w:color w:val="525866"/>
          <w:sz w:val="22"/>
        </w:rPr>
        <w:t xml:space="preserve">Read-through: </w:t>
      </w:r>
      <w:r>
        <w:rPr>
          <w:rFonts w:ascii="Calibri" w:hAnsi="Calibri"/>
          <w:i/>
          <w:color w:val="525866"/>
          <w:sz w:val="22"/>
        </w:rPr>
        <w:t>Validates Ares's infrastructure wealth product momentum ($1.9B raised in Q2 2026); confirms infrastructure is the fastest-growing wealth channel product across the sector.</w:t>
      </w:r>
    </w:p>
    <w:p>
      <w:pPr>
        <w:pStyle w:val="ListBullet"/>
        <w:ind w:left="360" w:hanging="360"/>
      </w:pPr>
      <w:r>
        <w:rPr>
          <w:rFonts w:ascii="Calibri" w:hAnsi="Calibri"/>
          <w:b/>
          <w:color w:val="525866"/>
          <w:sz w:val="22"/>
        </w:rPr>
        <w:t>Data Center Platform Extraordinary Momentum — Positive Read-Through:</w:t>
      </w:r>
      <w:r>
        <w:rPr>
          <w:rFonts w:ascii="Calibri" w:hAnsi="Calibri"/>
          <w:color w:val="525866"/>
          <w:sz w:val="22"/>
        </w:rPr>
        <w:t xml:space="preserve"> BX's data center platform grew to $185B in total value (up from $130B at start of 2026), with BX expecting to lease over 3x more capacity in 2026 than any prior year. BX characterized the global shortage of compute as the key driver of sustained returns. </w:t>
      </w:r>
      <w:r>
        <w:rPr>
          <w:rFonts w:ascii="Calibri" w:hAnsi="Calibri"/>
          <w:i/>
          <w:color w:val="525866"/>
          <w:sz w:val="22"/>
        </w:rPr>
        <w:t xml:space="preserve">Read-through: </w:t>
      </w:r>
      <w:r>
        <w:rPr>
          <w:rFonts w:ascii="Calibri" w:hAnsi="Calibri"/>
          <w:i/>
          <w:color w:val="525866"/>
          <w:sz w:val="22"/>
        </w:rPr>
        <w:t>Validates Ares's GCP digital infrastructure strategy and the demand environment for the data center fund first close; BX's commentary on pricing and returns being unchanged is positive for Ares's yield-co opportunity.</w:t>
      </w:r>
    </w:p>
    <w:p>
      <w:pPr>
        <w:pStyle w:val="ListBullet"/>
        <w:ind w:left="360" w:hanging="360"/>
      </w:pPr>
      <w:r>
        <w:rPr>
          <w:rFonts w:ascii="Calibri" w:hAnsi="Calibri"/>
          <w:b/>
          <w:color w:val="525866"/>
          <w:sz w:val="22"/>
        </w:rPr>
        <w:t>Realizations Accelerating — Positive Read-Through:</w:t>
      </w:r>
      <w:r>
        <w:rPr>
          <w:rFonts w:ascii="Calibri" w:hAnsi="Calibri"/>
          <w:color w:val="525866"/>
          <w:sz w:val="22"/>
        </w:rPr>
        <w:t xml:space="preserve"> BX reported net realizations of $414M in Q2 (+27% YoY), with gross performance revenues up 32% YoY. BX noted the IPO market is strengthening (US IPO activity up 6x YoY). However, BX guided for a sequential deceleration in net realizations in Q3 before a robust Q4 and 2027. </w:t>
      </w:r>
      <w:r>
        <w:rPr>
          <w:rFonts w:ascii="Calibri" w:hAnsi="Calibri"/>
          <w:i/>
          <w:color w:val="525866"/>
          <w:sz w:val="22"/>
        </w:rPr>
        <w:t xml:space="preserve">Read-through: </w:t>
      </w:r>
      <w:r>
        <w:rPr>
          <w:rFonts w:ascii="Calibri" w:hAnsi="Calibri"/>
          <w:i/>
          <w:color w:val="525866"/>
          <w:sz w:val="22"/>
        </w:rPr>
        <w:t>Positive for Ares's Q2 realized income line; the Q3 deceleration guidance is a mild caution for Ares's H2 realization cadence.</w:t>
      </w:r>
    </w:p>
    <w:p>
      <w:pPr>
        <w:pStyle w:val="ListBullet"/>
        <w:ind w:left="360" w:hanging="360"/>
      </w:pPr>
      <w:r>
        <w:rPr>
          <w:rFonts w:ascii="Calibri" w:hAnsi="Calibri"/>
          <w:b/>
          <w:color w:val="525866"/>
          <w:sz w:val="22"/>
        </w:rPr>
        <w:t>Software/AI Disruption Concern Manageable — Neutral Read-Through:</w:t>
      </w:r>
      <w:r>
        <w:rPr>
          <w:rFonts w:ascii="Calibri" w:hAnsi="Calibri"/>
          <w:color w:val="525866"/>
          <w:sz w:val="22"/>
        </w:rPr>
        <w:t xml:space="preserve"> BX noted software represents ~6% of its AUM and that deals from non-AI firms (white collar services, enterprise software) will be muted for a while. However, AI-related companies, electrical equipment, and data centers are seeing strong bids. </w:t>
      </w:r>
      <w:r>
        <w:rPr>
          <w:rFonts w:ascii="Calibri" w:hAnsi="Calibri"/>
          <w:i/>
          <w:color w:val="525866"/>
          <w:sz w:val="22"/>
        </w:rPr>
        <w:t xml:space="preserve">Read-through: </w:t>
      </w:r>
      <w:r>
        <w:rPr>
          <w:rFonts w:ascii="Calibri" w:hAnsi="Calibri"/>
          <w:i/>
          <w:color w:val="525866"/>
          <w:sz w:val="22"/>
        </w:rPr>
        <w:t>Consistent with Ares's own third-party study showing &gt;85% of its software portfolio faces low AI disruption risk; not a new negative.</w:t>
      </w:r>
    </w:p>
    <w:p>
      <w:pPr>
        <w:pStyle w:val="Heading3"/>
      </w:pPr>
      <w:r>
        <w:rPr>
          <w:rFonts w:ascii="Calibri" w:hAnsi="Calibri"/>
          <w:b/>
          <w:color w:val="3B4259"/>
          <w:sz w:val="24"/>
        </w:rPr>
        <w:t>KKR &amp; Co. (KKR) — Q2 2026 Earnings Call, July 30, 2026</w:t>
      </w:r>
    </w:p>
    <w:p>
      <w:r>
        <w:rPr>
          <w:rFonts w:ascii="Calibri" w:hAnsi="Calibri"/>
          <w:b/>
          <w:color w:val="525866"/>
          <w:sz w:val="22"/>
        </w:rPr>
        <w:t xml:space="preserve">Relevance: </w:t>
      </w:r>
      <w:r>
        <w:rPr>
          <w:rFonts w:ascii="Calibri" w:hAnsi="Calibri"/>
          <w:color w:val="525866"/>
          <w:sz w:val="22"/>
        </w:rPr>
        <w:t>KKR is a major alternative asset manager peer with significant private credit, infrastructure, and insurance exposure. Reports on the same day as Ares (July 30, 2026).</w:t>
      </w:r>
    </w:p>
    <w:p>
      <w:pPr>
        <w:pStyle w:val="ListBullet"/>
        <w:ind w:left="360" w:hanging="360"/>
      </w:pPr>
      <w:r>
        <w:rPr>
          <w:rFonts w:ascii="Calibri" w:hAnsi="Calibri"/>
          <w:b/>
          <w:color w:val="525866"/>
          <w:sz w:val="22"/>
        </w:rPr>
        <w:t>Record Fundraising — Positive Read-Through:</w:t>
      </w:r>
      <w:r>
        <w:rPr>
          <w:rFonts w:ascii="Calibri" w:hAnsi="Calibri"/>
          <w:color w:val="525866"/>
          <w:sz w:val="22"/>
        </w:rPr>
        <w:t xml:space="preserve"> KKR raised $34B in Q2 2026, bringing LTM capital raised to $133B and beating its 3-year $300B target in just 2.5 years. KKR expects a record fundraising year with momentum accelerating. </w:t>
      </w:r>
      <w:r>
        <w:rPr>
          <w:rFonts w:ascii="Calibri" w:hAnsi="Calibri"/>
          <w:i/>
          <w:color w:val="525866"/>
          <w:sz w:val="22"/>
        </w:rPr>
        <w:t xml:space="preserve">Read-through: </w:t>
      </w:r>
      <w:r>
        <w:rPr>
          <w:rFonts w:ascii="Calibri" w:hAnsi="Calibri"/>
          <w:i/>
          <w:color w:val="525866"/>
          <w:sz w:val="22"/>
        </w:rPr>
        <w:t>Validates the broad institutional demand environment; supports Ares's record fundraising trajectory.</w:t>
      </w:r>
    </w:p>
    <w:p>
      <w:pPr>
        <w:pStyle w:val="ListBullet"/>
        <w:ind w:left="360" w:hanging="360"/>
      </w:pPr>
      <w:r>
        <w:rPr>
          <w:rFonts w:ascii="Calibri" w:hAnsi="Calibri"/>
          <w:b/>
          <w:color w:val="525866"/>
          <w:sz w:val="22"/>
        </w:rPr>
        <w:t>Private Wealth Rebound — Positive Read-Through:</w:t>
      </w:r>
      <w:r>
        <w:rPr>
          <w:rFonts w:ascii="Calibri" w:hAnsi="Calibri"/>
          <w:color w:val="525866"/>
          <w:sz w:val="22"/>
        </w:rPr>
        <w:t xml:space="preserve"> KKR's K-series wealth AUM is up 70% YoY and over 20% in H1 2026, with a meaningful rebound from April lows. KKR characterized the recent market turmoil as a </w:t>
      </w:r>
      <w:r>
        <w:rPr>
          <w:rFonts w:ascii="Calibri" w:hAnsi="Calibri"/>
          <w:b/>
          <w:color w:val="525866"/>
          <w:sz w:val="22"/>
        </w:rPr>
        <w:t>"healthy educational period"</w:t>
      </w:r>
      <w:r>
        <w:rPr>
          <w:rFonts w:ascii="Calibri" w:hAnsi="Calibri"/>
          <w:color w:val="525866"/>
          <w:sz w:val="22"/>
        </w:rPr>
        <w:t xml:space="preserve"> for advisors and clients. </w:t>
      </w:r>
      <w:r>
        <w:rPr>
          <w:rFonts w:ascii="Calibri" w:hAnsi="Calibri"/>
          <w:i/>
          <w:color w:val="525866"/>
          <w:sz w:val="22"/>
        </w:rPr>
        <w:t xml:space="preserve">Read-through: </w:t>
      </w:r>
      <w:r>
        <w:rPr>
          <w:rFonts w:ascii="Calibri" w:hAnsi="Calibri"/>
          <w:i/>
          <w:color w:val="525866"/>
          <w:sz w:val="22"/>
        </w:rPr>
        <w:t>Positive for Ares's wealth channel narrative; KKR's framing of the redemption cycle as educational rather than structural is consistent with Ares's own messaging.</w:t>
      </w:r>
    </w:p>
    <w:p>
      <w:pPr>
        <w:pStyle w:val="ListBullet"/>
        <w:ind w:left="360" w:hanging="360"/>
      </w:pPr>
      <w:r>
        <w:rPr>
          <w:rFonts w:ascii="Calibri" w:hAnsi="Calibri"/>
          <w:b/>
          <w:color w:val="525866"/>
          <w:sz w:val="22"/>
        </w:rPr>
        <w:t>Record Monetization Quarter — Positive Read-Through:</w:t>
      </w:r>
      <w:r>
        <w:rPr>
          <w:rFonts w:ascii="Calibri" w:hAnsi="Calibri"/>
          <w:color w:val="525866"/>
          <w:sz w:val="22"/>
        </w:rPr>
        <w:t xml:space="preserve"> Q2 2026 was KKR's largest monetization quarter in history, with realized performance income of $848M. KKR guided for ~$700M of monetization visibility in Q3. </w:t>
      </w:r>
      <w:r>
        <w:rPr>
          <w:rFonts w:ascii="Calibri" w:hAnsi="Calibri"/>
          <w:i/>
          <w:color w:val="525866"/>
          <w:sz w:val="22"/>
        </w:rPr>
        <w:t xml:space="preserve">Read-through: </w:t>
      </w:r>
      <w:r>
        <w:rPr>
          <w:rFonts w:ascii="Calibri" w:hAnsi="Calibri"/>
          <w:i/>
          <w:color w:val="525866"/>
          <w:sz w:val="22"/>
        </w:rPr>
        <w:t>Positive for Ares's Q2 realized income narrative; confirms the realization environment is supportive.</w:t>
      </w:r>
    </w:p>
    <w:p>
      <w:pPr>
        <w:pStyle w:val="ListBullet"/>
        <w:ind w:left="360" w:hanging="360"/>
      </w:pPr>
      <w:r>
        <w:rPr>
          <w:rFonts w:ascii="Calibri" w:hAnsi="Calibri"/>
          <w:b/>
          <w:color w:val="525866"/>
          <w:sz w:val="22"/>
        </w:rPr>
        <w:t>Industry K-Shaped — Positive for Large Platforms:</w:t>
      </w:r>
      <w:r>
        <w:rPr>
          <w:rFonts w:ascii="Calibri" w:hAnsi="Calibri"/>
          <w:color w:val="525866"/>
          <w:sz w:val="22"/>
        </w:rPr>
        <w:t xml:space="preserve"> KKR's Co-CEO Scott Nuttall characterized the industry as "increasingly K-shaped," with KKR on the "happy part of the K." He noted the external perception is "so disconnected from the operating fundamentals." KKR addressed five common areas of market pessimism (private credit anxiety, wealth redemptions, PE monetizations, software disruption, fundraising slowdown) and rebutted each with strong data. </w:t>
      </w:r>
      <w:r>
        <w:rPr>
          <w:rFonts w:ascii="Calibri" w:hAnsi="Calibri"/>
          <w:i/>
          <w:color w:val="525866"/>
          <w:sz w:val="22"/>
        </w:rPr>
        <w:t xml:space="preserve">Read-through: </w:t>
      </w:r>
      <w:r>
        <w:rPr>
          <w:rFonts w:ascii="Calibri" w:hAnsi="Calibri"/>
          <w:i/>
          <w:color w:val="525866"/>
          <w:sz w:val="22"/>
        </w:rPr>
        <w:t>Directly applicable to Ares; the K-shaped framing supports Ares's positioning as a scaled, diversified platform that is gaining share from smaller managers.</w:t>
      </w:r>
    </w:p>
    <w:p>
      <w:pPr>
        <w:pStyle w:val="ListBullet"/>
        <w:ind w:left="360" w:hanging="360"/>
      </w:pPr>
      <w:r>
        <w:rPr>
          <w:rFonts w:ascii="Calibri" w:hAnsi="Calibri"/>
          <w:b/>
          <w:color w:val="525866"/>
          <w:sz w:val="22"/>
        </w:rPr>
        <w:t>Digital Infrastructure — Positive Read-Through:</w:t>
      </w:r>
      <w:r>
        <w:rPr>
          <w:rFonts w:ascii="Calibri" w:hAnsi="Calibri"/>
          <w:color w:val="525866"/>
          <w:sz w:val="22"/>
        </w:rPr>
        <w:t xml:space="preserve"> KKR launched Helix Digital Infrastructure in June 2026 with &gt;$10B of initial committed capital, targeting hyperscalers. KKR noted hyperscaler data center spreads have widened meaningfully in recent weeks, which KKR views as helpful. </w:t>
      </w:r>
      <w:r>
        <w:rPr>
          <w:rFonts w:ascii="Calibri" w:hAnsi="Calibri"/>
          <w:i/>
          <w:color w:val="525866"/>
          <w:sz w:val="22"/>
        </w:rPr>
        <w:t xml:space="preserve">Read-through: </w:t>
      </w:r>
      <w:r>
        <w:rPr>
          <w:rFonts w:ascii="Calibri" w:hAnsi="Calibri"/>
          <w:i/>
          <w:color w:val="525866"/>
          <w:sz w:val="22"/>
        </w:rPr>
        <w:t>Validates Ares's GCP data center strategy; widening spreads are positive for Ares's lending returns in digital infrastructure.</w:t>
      </w:r>
    </w:p>
    <w:p>
      <w:pPr>
        <w:pStyle w:val="ListBullet"/>
        <w:ind w:left="360" w:hanging="360"/>
      </w:pPr>
      <w:r>
        <w:rPr>
          <w:rFonts w:ascii="Calibri" w:hAnsi="Calibri"/>
          <w:b/>
          <w:color w:val="525866"/>
          <w:sz w:val="22"/>
        </w:rPr>
        <w:t>Insurance Competition Increasing — Mild Caution:</w:t>
      </w:r>
      <w:r>
        <w:rPr>
          <w:rFonts w:ascii="Calibri" w:hAnsi="Calibri"/>
          <w:color w:val="525866"/>
          <w:sz w:val="22"/>
        </w:rPr>
        <w:t xml:space="preserve"> KKR noted heightened competition in the insurance market and decided to allocate slightly less capital to insurance, citing structurally low ROEs. </w:t>
      </w:r>
      <w:r>
        <w:rPr>
          <w:rFonts w:ascii="Calibri" w:hAnsi="Calibri"/>
          <w:i/>
          <w:color w:val="525866"/>
          <w:sz w:val="22"/>
        </w:rPr>
        <w:t xml:space="preserve">Read-through: </w:t>
      </w:r>
      <w:r>
        <w:rPr>
          <w:rFonts w:ascii="Calibri" w:hAnsi="Calibri"/>
          <w:i/>
          <w:color w:val="525866"/>
          <w:sz w:val="22"/>
        </w:rPr>
        <w:t>Mild caution for Ares's Espada insurance platform, though Ares's balance-sheet-light approach and reinsurance focus differentiate it from KKR's Global Atlantic model.</w:t>
      </w:r>
    </w:p>
    <w:p>
      <w:pPr>
        <w:pStyle w:val="Heading3"/>
      </w:pPr>
      <w:r>
        <w:rPr>
          <w:rFonts w:ascii="Calibri" w:hAnsi="Calibri"/>
          <w:b/>
          <w:color w:val="3B4259"/>
          <w:sz w:val="24"/>
        </w:rPr>
        <w:t>Apollo Global Management (APO) — Morgan Stanley US Financials Conference, June 10, 2026</w:t>
      </w:r>
    </w:p>
    <w:p>
      <w:r>
        <w:rPr>
          <w:rFonts w:ascii="Calibri" w:hAnsi="Calibri"/>
          <w:b/>
          <w:color w:val="525866"/>
          <w:sz w:val="22"/>
        </w:rPr>
        <w:t xml:space="preserve">Relevance: </w:t>
      </w:r>
      <w:r>
        <w:rPr>
          <w:rFonts w:ascii="Calibri" w:hAnsi="Calibri"/>
          <w:color w:val="525866"/>
          <w:sz w:val="22"/>
        </w:rPr>
        <w:t>APO is a major private credit and alternative asset management peer. Commentary from June 10, 2026 (within the last 60 days) addresses Q2 2026 conditions and forward outlook.</w:t>
      </w:r>
    </w:p>
    <w:p>
      <w:pPr>
        <w:pStyle w:val="ListBullet"/>
        <w:ind w:left="360" w:hanging="360"/>
      </w:pPr>
      <w:r>
        <w:rPr>
          <w:rFonts w:ascii="Calibri" w:hAnsi="Calibri"/>
          <w:b/>
          <w:color w:val="525866"/>
          <w:sz w:val="22"/>
        </w:rPr>
        <w:t>Wealth Channel Resilience — Positive Read-Through:</w:t>
      </w:r>
      <w:r>
        <w:rPr>
          <w:rFonts w:ascii="Calibri" w:hAnsi="Calibri"/>
          <w:color w:val="525866"/>
          <w:sz w:val="22"/>
        </w:rPr>
        <w:t xml:space="preserve"> APO's Co-President John Zito stated that despite elevated redemptions, "there's been no run, no SVB, no financial institutions failing — the structure is right." He noted that people are "still massively under-invested in alternatives" and that the wealth channel "is going to prove to be more resilient than people think over time." Institutional demand for direct lending is showing "more demand, which is not consistent with the headlines." </w:t>
      </w:r>
      <w:r>
        <w:rPr>
          <w:rFonts w:ascii="Calibri" w:hAnsi="Calibri"/>
          <w:i/>
          <w:color w:val="525866"/>
          <w:sz w:val="22"/>
        </w:rPr>
        <w:t xml:space="preserve">Read-through: </w:t>
      </w:r>
      <w:r>
        <w:rPr>
          <w:rFonts w:ascii="Calibri" w:hAnsi="Calibri"/>
          <w:i/>
          <w:color w:val="525866"/>
          <w:sz w:val="22"/>
        </w:rPr>
        <w:t>Positive for Ares's wealth channel and institutional demand narrative; APO's framing of redemptions as manageable and structural demand as intact is consistent with Ares's messaging.</w:t>
      </w:r>
    </w:p>
    <w:p>
      <w:pPr>
        <w:pStyle w:val="ListBullet"/>
        <w:ind w:left="360" w:hanging="360"/>
      </w:pPr>
      <w:r>
        <w:rPr>
          <w:rFonts w:ascii="Calibri" w:hAnsi="Calibri"/>
          <w:b/>
          <w:color w:val="525866"/>
          <w:sz w:val="22"/>
        </w:rPr>
        <w:t>Private Credit Derisking Trade — Neutral Read-Through:</w:t>
      </w:r>
      <w:r>
        <w:rPr>
          <w:rFonts w:ascii="Calibri" w:hAnsi="Calibri"/>
          <w:color w:val="525866"/>
          <w:sz w:val="22"/>
        </w:rPr>
        <w:t xml:space="preserve"> APO characterized private credit as "a derisking trade — going up in quality, up in seniority, closer to assets." APO has been "massively underweight software" and pivoting to hard assets, treasuries, and asset-backed. </w:t>
      </w:r>
      <w:r>
        <w:rPr>
          <w:rFonts w:ascii="Calibri" w:hAnsi="Calibri"/>
          <w:i/>
          <w:color w:val="525866"/>
          <w:sz w:val="22"/>
        </w:rPr>
        <w:t xml:space="preserve">Read-through: </w:t>
      </w:r>
      <w:r>
        <w:rPr>
          <w:rFonts w:ascii="Calibri" w:hAnsi="Calibri"/>
          <w:i/>
          <w:color w:val="525866"/>
          <w:sz w:val="22"/>
        </w:rPr>
        <w:t>Consistent with Ares's own credit positioning; APO's software underweight is more aggressive than Ares's ~8% software exposure, but both firms are emphasizing credit quality.</w:t>
      </w:r>
    </w:p>
    <w:p>
      <w:pPr>
        <w:pStyle w:val="ListBullet"/>
        <w:ind w:left="360" w:hanging="360"/>
      </w:pPr>
      <w:r>
        <w:rPr>
          <w:rFonts w:ascii="Calibri" w:hAnsi="Calibri"/>
          <w:b/>
          <w:color w:val="525866"/>
          <w:sz w:val="22"/>
        </w:rPr>
        <w:t>Asset-Based Finance Massive Opportunity — Positive Read-Through:</w:t>
      </w:r>
      <w:r>
        <w:rPr>
          <w:rFonts w:ascii="Calibri" w:hAnsi="Calibri"/>
          <w:color w:val="525866"/>
          <w:sz w:val="22"/>
        </w:rPr>
        <w:t xml:space="preserve"> APO expects to originate $300–400B of excess spread assets in 2026, up from $50–75B historically. APO's high-grade capital solutions platform is its fastest-growing business. </w:t>
      </w:r>
      <w:r>
        <w:rPr>
          <w:rFonts w:ascii="Calibri" w:hAnsi="Calibri"/>
          <w:i/>
          <w:color w:val="525866"/>
          <w:sz w:val="22"/>
        </w:rPr>
        <w:t xml:space="preserve">Read-through: </w:t>
      </w:r>
      <w:r>
        <w:rPr>
          <w:rFonts w:ascii="Calibri" w:hAnsi="Calibri"/>
          <w:i/>
          <w:color w:val="525866"/>
          <w:sz w:val="22"/>
        </w:rPr>
        <w:t>Validates Ares's ABF strategy and the Pathfinder III hard-cap close; confirms the ABF market is experiencing exceptional demand.</w:t>
      </w:r>
    </w:p>
    <w:p>
      <w:pPr>
        <w:pStyle w:val="ListBullet"/>
        <w:ind w:left="360" w:hanging="360"/>
      </w:pPr>
      <w:r>
        <w:rPr>
          <w:rFonts w:ascii="Calibri" w:hAnsi="Calibri"/>
          <w:b/>
          <w:color w:val="525866"/>
          <w:sz w:val="22"/>
        </w:rPr>
        <w:t>Excess Spread Durability — Positive Read-Through:</w:t>
      </w:r>
      <w:r>
        <w:rPr>
          <w:rFonts w:ascii="Calibri" w:hAnsi="Calibri"/>
          <w:color w:val="525866"/>
          <w:sz w:val="22"/>
        </w:rPr>
        <w:t xml:space="preserve"> APO's Zito argued that excess spread will increasingly derive from origination spreads rather than illiquidity premium, and that controlling origination is the key competitive moat. He estimated excess spread will settle at 100–150 bps (vs. historical 150–200 bps). </w:t>
      </w:r>
      <w:r>
        <w:rPr>
          <w:rFonts w:ascii="Calibri" w:hAnsi="Calibri"/>
          <w:i/>
          <w:color w:val="525866"/>
          <w:sz w:val="22"/>
        </w:rPr>
        <w:t xml:space="preserve">Read-through: </w:t>
      </w:r>
      <w:r>
        <w:rPr>
          <w:rFonts w:ascii="Calibri" w:hAnsi="Calibri"/>
          <w:i/>
          <w:color w:val="525866"/>
          <w:sz w:val="22"/>
        </w:rPr>
        <w:t>Consistent with Ares's own commentary on the durability of private credit excess returns; the slight compression in spread expectations is a mild caution but not a new negative.</w:t>
      </w:r>
    </w:p>
    <w:p>
      <w:pPr>
        <w:pStyle w:val="Heading3"/>
      </w:pPr>
      <w:r>
        <w:rPr>
          <w:rFonts w:ascii="Calibri" w:hAnsi="Calibri"/>
          <w:b/>
          <w:color w:val="3B4259"/>
          <w:sz w:val="24"/>
        </w:rPr>
        <w:t>Carlyle Group (CG) — Morgan Stanley US Financials Conference, June 10, 2026</w:t>
      </w:r>
    </w:p>
    <w:p>
      <w:r>
        <w:rPr>
          <w:rFonts w:ascii="Calibri" w:hAnsi="Calibri"/>
          <w:b/>
          <w:color w:val="525866"/>
          <w:sz w:val="22"/>
        </w:rPr>
        <w:t xml:space="preserve">Relevance: </w:t>
      </w:r>
      <w:r>
        <w:rPr>
          <w:rFonts w:ascii="Calibri" w:hAnsi="Calibri"/>
          <w:color w:val="525866"/>
          <w:sz w:val="22"/>
        </w:rPr>
        <w:t>CG is a major alternative asset management peer. Commentary from June 10, 2026 addresses Q2 2026 conditions and forward outlook.</w:t>
      </w:r>
    </w:p>
    <w:p>
      <w:pPr>
        <w:pStyle w:val="ListBullet"/>
        <w:ind w:left="360" w:hanging="360"/>
      </w:pPr>
      <w:r>
        <w:rPr>
          <w:rFonts w:ascii="Calibri" w:hAnsi="Calibri"/>
          <w:b/>
          <w:color w:val="525866"/>
          <w:sz w:val="22"/>
        </w:rPr>
        <w:t>Economy Resilient Despite Volatility — Positive Read-Through:</w:t>
      </w:r>
      <w:r>
        <w:rPr>
          <w:rFonts w:ascii="Calibri" w:hAnsi="Calibri"/>
          <w:color w:val="525866"/>
          <w:sz w:val="22"/>
        </w:rPr>
        <w:t xml:space="preserve"> CG's CFO Justin Plaehn noted that "given everything that's happened in 2026 so far, it's actually surprising how resilient the economy has been globally." Portfolio companies are "generally still growing" and "performing well," with no "waves of defaults." </w:t>
      </w:r>
      <w:r>
        <w:rPr>
          <w:rFonts w:ascii="Calibri" w:hAnsi="Calibri"/>
          <w:i/>
          <w:color w:val="525866"/>
          <w:sz w:val="22"/>
        </w:rPr>
        <w:t xml:space="preserve">Read-through: </w:t>
      </w:r>
      <w:r>
        <w:rPr>
          <w:rFonts w:ascii="Calibri" w:hAnsi="Calibri"/>
          <w:i/>
          <w:color w:val="525866"/>
          <w:sz w:val="22"/>
        </w:rPr>
        <w:t>Positive for Ares's credit quality narrative; consistent with Ares's own commentary on strong portfolio fundamentals.</w:t>
      </w:r>
    </w:p>
    <w:p>
      <w:pPr>
        <w:pStyle w:val="ListBullet"/>
        <w:ind w:left="360" w:hanging="360"/>
      </w:pPr>
      <w:r>
        <w:rPr>
          <w:rFonts w:ascii="Calibri" w:hAnsi="Calibri"/>
          <w:b/>
          <w:color w:val="525866"/>
          <w:sz w:val="22"/>
        </w:rPr>
        <w:t>Fundraising Super Cycle — Positive Read-Through:</w:t>
      </w:r>
      <w:r>
        <w:rPr>
          <w:rFonts w:ascii="Calibri" w:hAnsi="Calibri"/>
          <w:color w:val="525866"/>
          <w:sz w:val="22"/>
        </w:rPr>
        <w:t xml:space="preserve"> CG described entering a "super cycle for fundraising" with all flagship funds in market or coming to market. CG has $100B of dry powder at record levels. </w:t>
      </w:r>
      <w:r>
        <w:rPr>
          <w:rFonts w:ascii="Calibri" w:hAnsi="Calibri"/>
          <w:i/>
          <w:color w:val="525866"/>
          <w:sz w:val="22"/>
        </w:rPr>
        <w:t xml:space="preserve">Read-through: </w:t>
      </w:r>
      <w:r>
        <w:rPr>
          <w:rFonts w:ascii="Calibri" w:hAnsi="Calibri"/>
          <w:i/>
          <w:color w:val="525866"/>
          <w:sz w:val="22"/>
        </w:rPr>
        <w:t>Validates the broad fundraising environment; consistent with Ares's record Q1 2026 fundraising and pipeline commentary.</w:t>
      </w:r>
    </w:p>
    <w:p>
      <w:pPr>
        <w:pStyle w:val="ListBullet"/>
        <w:ind w:left="360" w:hanging="360"/>
      </w:pPr>
      <w:r>
        <w:rPr>
          <w:rFonts w:ascii="Calibri" w:hAnsi="Calibri"/>
          <w:b/>
          <w:color w:val="525866"/>
          <w:sz w:val="22"/>
        </w:rPr>
        <w:t>Not Being Tech-Heavy is a Virtue — Positive Read-Through:</w:t>
      </w:r>
      <w:r>
        <w:rPr>
          <w:rFonts w:ascii="Calibri" w:hAnsi="Calibri"/>
          <w:color w:val="525866"/>
          <w:sz w:val="22"/>
        </w:rPr>
        <w:t xml:space="preserve"> CG's CFO noted that "not being tech is somehow a virtue" compared to some other firms, and that LPs are seeking expertise in aerospace/defense, healthcare, financials, and industrials. </w:t>
      </w:r>
      <w:r>
        <w:rPr>
          <w:rFonts w:ascii="Calibri" w:hAnsi="Calibri"/>
          <w:i/>
          <w:color w:val="525866"/>
          <w:sz w:val="22"/>
        </w:rPr>
        <w:t xml:space="preserve">Read-through: </w:t>
      </w:r>
      <w:r>
        <w:rPr>
          <w:rFonts w:ascii="Calibri" w:hAnsi="Calibri"/>
          <w:i/>
          <w:color w:val="525866"/>
          <w:sz w:val="22"/>
        </w:rPr>
        <w:t>Consistent with Ares's own third-party study defending its software exposure; the broader market is rewarding diversified platforms with limited tech concentration.</w:t>
      </w:r>
    </w:p>
    <w:p>
      <w:pPr>
        <w:pStyle w:val="ListBullet"/>
        <w:ind w:left="360" w:hanging="360"/>
      </w:pPr>
      <w:r>
        <w:rPr>
          <w:rFonts w:ascii="Calibri" w:hAnsi="Calibri"/>
          <w:b/>
          <w:color w:val="525866"/>
          <w:sz w:val="22"/>
        </w:rPr>
        <w:t>Wealth Channel Building — Positive Read-Through:</w:t>
      </w:r>
      <w:r>
        <w:rPr>
          <w:rFonts w:ascii="Calibri" w:hAnsi="Calibri"/>
          <w:color w:val="525866"/>
          <w:sz w:val="22"/>
        </w:rPr>
        <w:t xml:space="preserve"> CG noted its private wealth business now has a flagship product for every strategy, with a "great" response. CG expects wealth investors to have "more" private market exposure in five years. </w:t>
      </w:r>
      <w:r>
        <w:rPr>
          <w:rFonts w:ascii="Calibri" w:hAnsi="Calibri"/>
          <w:i/>
          <w:color w:val="525866"/>
          <w:sz w:val="22"/>
        </w:rPr>
        <w:t xml:space="preserve">Read-through: </w:t>
      </w:r>
      <w:r>
        <w:rPr>
          <w:rFonts w:ascii="Calibri" w:hAnsi="Calibri"/>
          <w:i/>
          <w:color w:val="525866"/>
          <w:sz w:val="22"/>
        </w:rPr>
        <w:t>Consistent with Ares's long-term wealth channel thesis; the secular trend toward alternatives in wealth is intact across the industry.</w:t>
      </w:r>
    </w:p>
    <w:p>
      <w:r>
        <w:rPr>
          <w:rFonts w:ascii="Calibri" w:hAnsi="Calibri"/>
          <w:b/>
          <w:color w:val="525866"/>
          <w:sz w:val="22"/>
        </w:rPr>
        <w:t xml:space="preserve">Sources: </w:t>
      </w:r>
      <w:r>
        <w:rPr>
          <w:rFonts w:ascii="Calibri" w:hAnsi="Calibri"/>
          <w:color w:val="525866"/>
          <w:sz w:val="22"/>
        </w:rPr>
        <w:t>OWL Q2 2026 Earnings Call (July 30, 2026); BX Q2 2026 Earnings Call (July 23, 2026); KKR Q2 2026 Earnings Call (July 30, 2026); APO Morgan Stanley US Financials Conference (June 10, 2026); CG Morgan Stanley US Financials Conference (June 10, 2026). All commentary pertains to Q2 2026 conditions or forward outlook; no retrospective Q1 2026 result observations are included.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transaction codes P/S) were identified for ARES in the period from May 1, 2026 through July 30, 2026. The absence of discretionary insider selling ahead of earnings is a mild positive signal — insiders are not using the pre-earnings window to reduce exposure.</w:t>
      </w:r>
    </w:p>
    <w:p>
      <w:r>
        <w:rPr>
          <w:rFonts w:ascii="Calibri" w:hAnsi="Calibri"/>
          <w:color w:val="525866"/>
          <w:sz w:val="22"/>
        </w:rPr>
        <w:t>No open-market buys or sells (Form 4 codes P/S) were returned for ARES in the post-Q1 2026 earnings window (May 1 – July 30, 2026). The SEC insider transaction database query returned no matching transactions for this period. This is consistent with the typical pattern for large alternative asset managers, where most equity compensation is delivered through restricted units and planned sales are typically executed under 10b5-1 programs outside of earnings windows.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(Form 4 codes P/S) identified for ARES in the May 1 – July 30, 2026 window</w:t>
            </w:r>
          </w:p>
        </w:tc>
      </w:tr>
    </w:tbl>
    <w:p>
      <w:r>
        <w:rPr>
          <w:rFonts w:ascii="Calibri" w:hAnsi="Calibri"/>
          <w:b/>
          <w:color w:val="525866"/>
          <w:sz w:val="22"/>
        </w:rPr>
        <w:t xml:space="preserve">Source: </w:t>
      </w:r>
      <w:r>
        <w:rPr>
          <w:rFonts w:ascii="Calibri" w:hAnsi="Calibri"/>
          <w:color w:val="525866"/>
          <w:sz w:val="22"/>
        </w:rPr>
        <w:t>SEC Form 4 Filings Database (insider_transactions dataset). Query covered ARES, transaction codes P and S, filing dates May 1, 2026 – July 30, 2026. No matching transactions returned.</w:t>
      </w:r>
    </w:p>
    <w:p>
      <w:r>
        <w:br w:type="page"/>
      </w:r>
    </w:p>
    <w:p>
      <w:pPr>
        <w:pStyle w:val="Heading2"/>
      </w:pPr>
      <w:r>
        <w:rPr>
          <w:rFonts w:ascii="Calibri" w:hAnsi="Calibri"/>
          <w:b/>
          <w:color w:val="3B4259"/>
          <w:sz w:val="28"/>
        </w:rPr>
        <w:t>Appendix: Key Data Sources &amp; Citations</w:t>
      </w:r>
    </w:p>
    <w:p>
      <w:pPr>
        <w:pStyle w:val="ListBullet"/>
        <w:ind w:left="360" w:hanging="360"/>
      </w:pPr>
      <w:r>
        <w:rPr>
          <w:rFonts w:ascii="Calibri" w:hAnsi="Calibri"/>
          <w:b/>
          <w:color w:val="525866"/>
          <w:sz w:val="22"/>
        </w:rPr>
        <w:t>Visible Alpha Consensus and Actuals Data (ARES US):</w:t>
      </w:r>
      <w:r>
        <w:rPr>
          <w:rFonts w:ascii="Calibri" w:hAnsi="Calibri"/>
          <w:color w:val="525866"/>
          <w:sz w:val="22"/>
        </w:rPr>
        <w:t xml:space="preserve"> All KPI consensus estimates and actuals. Source: https://insights.visiblealpha.com/mex/ARES_US/NMV/IS (income statement KPIs) and https://insights.visiblealpha.com/mex/ARES_US/NMV/Aumproforma (AUM/deployment KPIs).</w:t>
      </w:r>
    </w:p>
    <w:p>
      <w:pPr>
        <w:pStyle w:val="ListBullet"/>
        <w:ind w:left="360" w:hanging="360"/>
      </w:pPr>
      <w:r>
        <w:rPr>
          <w:rFonts w:ascii="Calibri" w:hAnsi="Calibri"/>
          <w:b/>
          <w:color w:val="525866"/>
          <w:sz w:val="22"/>
        </w:rPr>
        <w:t>Stock Price Data:</w:t>
      </w:r>
      <w:r>
        <w:rPr>
          <w:rFonts w:ascii="Calibri" w:hAnsi="Calibri"/>
          <w:color w:val="525866"/>
          <w:sz w:val="22"/>
        </w:rPr>
        <w:t xml:space="preserve"> Yahoo Finance. ARES, KCE (SPDR S&amp;P Capital Markets ETF), SPY (SPDR S&amp;P 500 ETF). Daily closing prices May 1 – July 30, 2026.</w:t>
      </w:r>
    </w:p>
    <w:p>
      <w:pPr>
        <w:pStyle w:val="ListBullet"/>
        <w:ind w:left="360" w:hanging="360"/>
      </w:pPr>
      <w:r>
        <w:rPr>
          <w:rFonts w:ascii="Calibri" w:hAnsi="Calibri"/>
          <w:b/>
          <w:color w:val="525866"/>
          <w:sz w:val="22"/>
        </w:rPr>
        <w:t>SEC Filings:</w:t>
      </w:r>
      <w:r>
        <w:rPr>
          <w:rFonts w:ascii="Calibri" w:hAnsi="Calibri"/>
          <w:color w:val="525866"/>
          <w:sz w:val="22"/>
        </w:rPr>
        <w:t xml:space="preserve"> Ares Management Corporation 8-K filed July 9, 2026 (preliminary Q2 2026 performance income estimate); 8-K filed April 30, 2026 (Q1 2026 earnings release); Q1 2026 earnings call transcript (May 1, 2026).</w:t>
      </w:r>
    </w:p>
    <w:p>
      <w:pPr>
        <w:pStyle w:val="ListBullet"/>
        <w:ind w:left="360" w:hanging="360"/>
      </w:pPr>
      <w:r>
        <w:rPr>
          <w:rFonts w:ascii="Calibri" w:hAnsi="Calibri"/>
          <w:b/>
          <w:color w:val="525866"/>
          <w:sz w:val="22"/>
        </w:rPr>
        <w:t>Peer Transcripts:</w:t>
      </w:r>
      <w:r>
        <w:rPr>
          <w:rFonts w:ascii="Calibri" w:hAnsi="Calibri"/>
          <w:color w:val="525866"/>
          <w:sz w:val="22"/>
        </w:rPr>
        <w:t xml:space="preserve"> OWL Q2 2026 Earnings Call (July 30, 2026); BX Q2 2026 Earnings Call (July 23, 2026); KKR Q2 2026 Earnings Call (July 30, 2026); APO Morgan Stanley US Financials Conference (June 10, 2026); CG Morgan Stanley US Financials Conference (June 10, 2026).</w:t>
      </w:r>
    </w:p>
    <w:p>
      <w:pPr>
        <w:pStyle w:val="ListBullet"/>
        <w:ind w:left="360" w:hanging="360"/>
      </w:pPr>
      <w:r>
        <w:rPr>
          <w:rFonts w:ascii="Calibri" w:hAnsi="Calibri"/>
          <w:b/>
          <w:color w:val="525866"/>
          <w:sz w:val="22"/>
        </w:rPr>
        <w:t>Insider Transactions:</w:t>
      </w:r>
      <w:r>
        <w:rPr>
          <w:rFonts w:ascii="Calibri" w:hAnsi="Calibri"/>
          <w:color w:val="525866"/>
          <w:sz w:val="22"/>
        </w:rPr>
        <w:t xml:space="preserve"> SEC Form 4 Filings Database. No open-market transactions identified for ARES in the review period.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