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avy-earnings-predictions--2026-07-30"/>
    <w:p>
      <w:pPr>
        <w:pStyle w:val="Heading1"/>
      </w:pPr>
      <w:r>
        <w:t xml:space="preserve">AVY Earnings Predictions — 2026-07-30</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AVY</w:t>
            </w:r>
          </w:p>
        </w:tc>
        <w:tc>
          <w:tcPr/>
          <w:p>
            <w:pPr>
              <w:pStyle w:val="Compact"/>
            </w:pPr>
            <w:r>
              <w:t xml:space="preserve">Report</w:t>
            </w:r>
          </w:p>
        </w:tc>
        <w:tc>
          <w:tcPr/>
          <w:p>
            <w:pPr>
              <w:pStyle w:val="Compact"/>
            </w:pPr>
            <w:r>
              <w:t xml:space="preserve">Adjusted EPS (Q2 2026)</w:t>
            </w:r>
          </w:p>
        </w:tc>
        <w:tc>
          <w:tcPr/>
          <w:p>
            <w:pPr>
              <w:pStyle w:val="Compact"/>
            </w:pPr>
            <w:r>
              <w:t xml:space="preserve">MISS</w:t>
            </w:r>
          </w:p>
        </w:tc>
        <w:tc>
          <w:tcPr/>
          <w:p>
            <w:pPr>
              <w:pStyle w:val="Compact"/>
            </w:pPr>
            <w:r>
              <w:t xml:space="preserve">pred ~$2.43 vs. cons $2.46</w:t>
            </w:r>
          </w:p>
        </w:tc>
        <w:tc>
          <w:tcPr/>
          <w:p>
            <w:pPr>
              <w:pStyle w:val="Compact"/>
            </w:pPr>
            <w:r>
              <w:t xml:space="preserve">MEDIUM</w:t>
            </w:r>
          </w:p>
        </w:tc>
      </w:tr>
      <w:tr>
        <w:tc>
          <w:tcPr/>
          <w:p>
            <w:pPr>
              <w:pStyle w:val="Compact"/>
            </w:pPr>
            <w:r>
              <w:t xml:space="preserve">AVY</w:t>
            </w:r>
          </w:p>
        </w:tc>
        <w:tc>
          <w:tcPr/>
          <w:p>
            <w:pPr>
              <w:pStyle w:val="Compact"/>
            </w:pPr>
            <w:r>
              <w:t xml:space="preserve">Report</w:t>
            </w:r>
          </w:p>
        </w:tc>
        <w:tc>
          <w:tcPr/>
          <w:p>
            <w:pPr>
              <w:pStyle w:val="Compact"/>
            </w:pPr>
            <w:r>
              <w:t xml:space="preserve">Revenue (Q2 2026)</w:t>
            </w:r>
          </w:p>
        </w:tc>
        <w:tc>
          <w:tcPr/>
          <w:p>
            <w:pPr>
              <w:pStyle w:val="Compact"/>
            </w:pPr>
            <w:r>
              <w:t xml:space="preserve">MISS</w:t>
            </w:r>
          </w:p>
        </w:tc>
        <w:tc>
          <w:tcPr/>
          <w:p>
            <w:pPr>
              <w:pStyle w:val="Compact"/>
            </w:pPr>
            <w:r>
              <w:t xml:space="preserve">pred ~$2.27B vs. cons $2.295B</w:t>
            </w:r>
          </w:p>
        </w:tc>
        <w:tc>
          <w:tcPr/>
          <w:p>
            <w:pPr>
              <w:pStyle w:val="Compact"/>
            </w:pPr>
            <w:r>
              <w:t xml:space="preserve">MEDIUM</w:t>
            </w:r>
          </w:p>
        </w:tc>
      </w:tr>
      <w:tr>
        <w:tc>
          <w:tcPr/>
          <w:p>
            <w:pPr>
              <w:pStyle w:val="Compact"/>
            </w:pPr>
            <w:r>
              <w:t xml:space="preserve">AVY</w:t>
            </w:r>
          </w:p>
        </w:tc>
        <w:tc>
          <w:tcPr/>
          <w:p>
            <w:pPr>
              <w:pStyle w:val="Compact"/>
            </w:pPr>
            <w:r>
              <w:t xml:space="preserve">Report</w:t>
            </w:r>
          </w:p>
        </w:tc>
        <w:tc>
          <w:tcPr/>
          <w:p>
            <w:pPr>
              <w:pStyle w:val="Compact"/>
            </w:pPr>
            <w:r>
              <w:t xml:space="preserve">Organic Sales Growth (Q2 2026)</w:t>
            </w:r>
          </w:p>
        </w:tc>
        <w:tc>
          <w:tcPr/>
          <w:p>
            <w:pPr>
              <w:pStyle w:val="Compact"/>
            </w:pPr>
            <w:r>
              <w:t xml:space="preserve">MISS</w:t>
            </w:r>
          </w:p>
        </w:tc>
        <w:tc>
          <w:tcPr/>
          <w:p>
            <w:pPr>
              <w:pStyle w:val="Compact"/>
            </w:pPr>
            <w:r>
              <w:t xml:space="preserve">pred ~0.5% vs. cons ~2.0%</w:t>
            </w:r>
          </w:p>
        </w:tc>
        <w:tc>
          <w:tcPr/>
          <w:p>
            <w:pPr>
              <w:pStyle w:val="Compact"/>
            </w:pPr>
            <w:r>
              <w:t xml:space="preserve">LOW</w:t>
            </w:r>
          </w:p>
        </w:tc>
      </w:tr>
      <w:tr>
        <w:tc>
          <w:tcPr/>
          <w:p>
            <w:pPr>
              <w:pStyle w:val="Compact"/>
            </w:pPr>
            <w:r>
              <w:t xml:space="preserve">AVY</w:t>
            </w:r>
          </w:p>
        </w:tc>
        <w:tc>
          <w:tcPr/>
          <w:p>
            <w:pPr>
              <w:pStyle w:val="Compact"/>
            </w:pPr>
            <w:r>
              <w:t xml:space="preserve">Guide</w:t>
            </w:r>
          </w:p>
        </w:tc>
        <w:tc>
          <w:tcPr/>
          <w:p>
            <w:pPr>
              <w:pStyle w:val="Compact"/>
            </w:pPr>
            <w:r>
              <w:t xml:space="preserve">Q3 2026 Adjusted EPS guidance</w:t>
            </w:r>
          </w:p>
        </w:tc>
        <w:tc>
          <w:tcPr/>
          <w:p>
            <w:pPr>
              <w:pStyle w:val="Compact"/>
            </w:pPr>
            <w:r>
              <w:t xml:space="preserve">LOWER</w:t>
            </w:r>
          </w:p>
        </w:tc>
        <w:tc>
          <w:tcPr/>
          <w:p>
            <w:pPr>
              <w:pStyle w:val="Compact"/>
            </w:pPr>
            <w:r>
              <w:t xml:space="preserve">guide ~$2.50 vs. cons $2.58 (Q3 2026)</w:t>
            </w:r>
          </w:p>
        </w:tc>
        <w:tc>
          <w:tcPr/>
          <w:p>
            <w:pPr>
              <w:pStyle w:val="Compact"/>
            </w:pPr>
            <w:r>
              <w:t xml:space="preserve">MEDIUM</w:t>
            </w:r>
          </w:p>
        </w:tc>
      </w:tr>
      <w:tr>
        <w:tc>
          <w:tcPr/>
          <w:p>
            <w:pPr>
              <w:pStyle w:val="Compact"/>
            </w:pPr>
            <w:r>
              <w:t xml:space="preserve">AVY</w:t>
            </w:r>
          </w:p>
        </w:tc>
        <w:tc>
          <w:tcPr/>
          <w:p>
            <w:pPr>
              <w:pStyle w:val="Compact"/>
            </w:pPr>
            <w:r>
              <w:t xml:space="preserve">Guide</w:t>
            </w:r>
          </w:p>
        </w:tc>
        <w:tc>
          <w:tcPr/>
          <w:p>
            <w:pPr>
              <w:pStyle w:val="Compact"/>
            </w:pPr>
            <w:r>
              <w:t xml:space="preserve">FY2026 Adjusted EPS guidance (full-year range)</w:t>
            </w:r>
          </w:p>
        </w:tc>
        <w:tc>
          <w:tcPr/>
          <w:p>
            <w:pPr>
              <w:pStyle w:val="Compact"/>
            </w:pPr>
            <w:r>
              <w:t xml:space="preserve">UNCHANGED</w:t>
            </w:r>
          </w:p>
        </w:tc>
        <w:tc>
          <w:tcPr/>
          <w:p>
            <w:pPr>
              <w:pStyle w:val="Compact"/>
            </w:pPr>
            <w:r>
              <w:t xml:space="preserve">guide ~$9.95 vs. cons $10.05 (FY2026)</w:t>
            </w:r>
          </w:p>
        </w:tc>
        <w:tc>
          <w:tcPr/>
          <w:p>
            <w:pPr>
              <w:pStyle w:val="Compact"/>
            </w:pPr>
            <w:r>
              <w:t xml:space="preserve">LOW</w:t>
            </w:r>
          </w:p>
        </w:tc>
      </w:tr>
      <w:tr>
        <w:tc>
          <w:tcPr/>
          <w:p>
            <w:pPr>
              <w:pStyle w:val="Compact"/>
            </w:pPr>
            <w:r>
              <w:t xml:space="preserve">AVY</w:t>
            </w:r>
          </w:p>
        </w:tc>
        <w:tc>
          <w:tcPr/>
          <w:p>
            <w:pPr>
              <w:pStyle w:val="Compact"/>
            </w:pPr>
            <w:r>
              <w:t xml:space="preserve">Guide</w:t>
            </w:r>
          </w:p>
        </w:tc>
        <w:tc>
          <w:tcPr/>
          <w:p>
            <w:pPr>
              <w:pStyle w:val="Compact"/>
            </w:pPr>
            <w:r>
              <w:t xml:space="preserve">Intelligent Labels 2H26 growth commentary</w:t>
            </w:r>
          </w:p>
        </w:tc>
        <w:tc>
          <w:tcPr/>
          <w:p>
            <w:pPr>
              <w:pStyle w:val="Compact"/>
            </w:pPr>
            <w:r>
              <w:t xml:space="preserve">UNCHANGED</w:t>
            </w:r>
          </w:p>
        </w:tc>
        <w:tc>
          <w:tcPr/>
          <w:p>
            <w:pPr>
              <w:pStyle w:val="Compact"/>
            </w:pPr>
            <w:r>
              <w:t xml:space="preserve">guide ~4-5% 2H26 growth vs. ~3% prior-year comp (2H2026 vs 2H2025)</w:t>
            </w:r>
          </w:p>
        </w:tc>
        <w:tc>
          <w:tcPr/>
          <w:p>
            <w:pPr>
              <w:pStyle w:val="Compact"/>
            </w:pPr>
            <w:r>
              <w:t xml:space="preserve">LOW</w:t>
            </w:r>
          </w:p>
        </w:tc>
      </w:tr>
      <w:tr>
        <w:tc>
          <w:tcPr/>
          <w:p>
            <w:pPr>
              <w:pStyle w:val="Compact"/>
            </w:pPr>
            <w:r>
              <w:t xml:space="preserve">AVY</w:t>
            </w:r>
          </w:p>
        </w:tc>
        <w:tc>
          <w:tcPr/>
          <w:p>
            <w:pPr>
              <w:pStyle w:val="Compact"/>
            </w:pPr>
            <w:r>
              <w:t xml:space="preserve">Return</w:t>
            </w:r>
          </w:p>
        </w:tc>
        <w:tc>
          <w:tcPr/>
          <w:p>
            <w:pPr>
              <w:pStyle w:val="Compact"/>
            </w:pPr>
            <w:r>
              <w:t xml:space="preserve">Day-1 residual (stock − beta × S&amp;P 500)</w:t>
            </w:r>
          </w:p>
        </w:tc>
        <w:tc>
          <w:tcPr/>
          <w:p>
            <w:pPr>
              <w:pStyle w:val="Compact"/>
            </w:pPr>
            <w:r>
              <w:t xml:space="preserve">-3.5%</w:t>
            </w:r>
          </w:p>
        </w:tc>
        <w:tc>
          <w:tcPr/>
          <w:p>
            <w:pPr>
              <w:pStyle w:val="Compact"/>
            </w:pPr>
            <w:r>
              <w:t xml:space="preserve">—</w:t>
            </w:r>
          </w:p>
        </w:tc>
        <w:tc>
          <w:tcPr/>
          <w:p>
            <w:pPr>
              <w:pStyle w:val="Compact"/>
            </w:pPr>
            <w:r>
              <w:t xml:space="preserve">MEDIUM</w:t>
            </w:r>
          </w:p>
        </w:tc>
      </w:tr>
      <w:tr>
        <w:tc>
          <w:tcPr/>
          <w:p>
            <w:pPr>
              <w:pStyle w:val="Compact"/>
            </w:pPr>
            <w:r>
              <w:t xml:space="preserve">AVY</w:t>
            </w:r>
          </w:p>
        </w:tc>
        <w:tc>
          <w:tcPr/>
          <w:p>
            <w:pPr>
              <w:pStyle w:val="Compact"/>
            </w:pPr>
            <w:r>
              <w:t xml:space="preserve">Return</w:t>
            </w:r>
          </w:p>
        </w:tc>
        <w:tc>
          <w:tcPr/>
          <w:p>
            <w:pPr>
              <w:pStyle w:val="Compact"/>
            </w:pPr>
            <w:r>
              <w:t xml:space="preserve">5-day cumulative residual</w:t>
            </w:r>
          </w:p>
        </w:tc>
        <w:tc>
          <w:tcPr/>
          <w:p>
            <w:pPr>
              <w:pStyle w:val="Compact"/>
            </w:pPr>
            <w:r>
              <w:t xml:space="preserve">-5.5% (FOLLOW-THROUGH)</w:t>
            </w:r>
          </w:p>
        </w:tc>
        <w:tc>
          <w:tcPr/>
          <w:p>
            <w:pPr>
              <w:pStyle w:val="Compact"/>
            </w:pPr>
            <w:r>
              <w:t xml:space="preserve">Stock rallied ~9% into the print (from $155 to $169 before settling near $166), pricing in an optimistic beat-and-raise scenario despite management's own guidance implying a sequential EPS plateau from the prebuy unwind and a genuine high-single-digit raw-material inflation shock. A likely modest EPS/revenue miss plus explicit commentary on price-cost lag persisting into Q3 gives sell-side analysts reason to trim Q3/FY26 estimates even if Q2 prints roughly in line, while any hedging on the Intelligent Labels second-half ramp (Walmart food rollout) removes the key re-rating catalyst bulls were counting on. With valuation already stretched into the print and limited room for disappointment, initial downside is likely to extend over the following days as consensus numbers get revised down rather than stabilize.</w:t>
            </w:r>
          </w:p>
        </w:tc>
        <w:tc>
          <w:tcPr/>
          <w:p>
            <w:pPr>
              <w:pStyle w:val="Compact"/>
            </w:pPr>
            <w:r>
              <w:t xml:space="preserve">MEDIUM</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2026-07-29T19:05:53Z</dcterms:created>
  <dcterms:modified xsi:type="dcterms:W3CDTF">2026-07-29T19:05:53Z</dcterms:modified>
</cp:coreProperties>
</file>

<file path=docProps/custom.xml><?xml version="1.0" encoding="utf-8"?>
<Properties xmlns="http://schemas.openxmlformats.org/officeDocument/2006/custom-properties" xmlns:vt="http://schemas.openxmlformats.org/officeDocument/2006/docPropsVTypes"/>
</file>