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X959aa6c8ede0cfbd02afd37be1fd18067680bdf"/>
    <w:p>
      <w:pPr>
        <w:pStyle w:val="Heading1"/>
      </w:pPr>
      <w:r>
        <w:t xml:space="preserve">Avery Dennison (AVY)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July 30, 2026 (before market open)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11:00 AM ET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AVY shares enter earnings at roughly</w:t>
      </w:r>
      <w:r>
        <w:t xml:space="preserve"> </w:t>
      </w:r>
      <m:oMath>
        <m:r>
          <m:t>166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o</m:t>
        </m:r>
        <m:r>
          <m:t>v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p</m:t>
        </m:r>
        <m:r>
          <m:t>a</m:t>
        </m:r>
        <m:r>
          <m:t>s</m:t>
        </m:r>
        <m:r>
          <m:t>t</m:t>
        </m:r>
        <m:r>
          <m:t>w</m:t>
        </m:r>
        <m:r>
          <m:t>e</m:t>
        </m:r>
        <m:r>
          <m:t>e</m:t>
        </m:r>
        <m:r>
          <m:t>k</m:t>
        </m:r>
        <m:r>
          <m:rPr>
            <m:sty m:val="p"/>
          </m:rPr>
          <m:t>(</m:t>
        </m:r>
        <m:r>
          <m:t>f</m:t>
        </m:r>
        <m:r>
          <m:t>r</m:t>
        </m:r>
        <m:r>
          <m:t>o</m:t>
        </m:r>
        <m:r>
          <m:t>m</m:t>
        </m:r>
        <m:r>
          <m:t> </m:t>
        </m:r>
      </m:oMath>
      <w:r>
        <w:rPr>
          <w:b/>
          <w:bCs/>
        </w:rPr>
        <w:t xml:space="preserve">155 on 7/23 to</w:t>
      </w:r>
      <w:r>
        <w:rPr>
          <w:b/>
          <w:bCs/>
        </w:rPr>
        <w:t xml:space="preserve"> </w:t>
      </w:r>
      <w:r>
        <w:rPr>
          <w:b/>
          <w:bCs/>
        </w:rPr>
        <w:t xml:space="preserve">$169 on 7/28) but still down modestly on the year and underperforming the broader market. Sentiment is mixed: the stock carries a "Moderate Buy" consensus (nine Strong Buy, one Moderate Buy, four Hold among 14 analysts), with an average price target around **$</w:t>
      </w:r>
      <w:r>
        <w:rPr>
          <w:b/>
          <w:bCs/>
        </w:rPr>
        <w:t xml:space="preserve">196-$200</w:t>
      </w:r>
      <w:r>
        <w:t xml:space="preserve">, implying meaningful upside from current levels. Recent target moves have been a bit choppy — BofA raised its target to $210 (Buy) on July 14, while Truist trimmed its target to $209 (still Buy) and Argus sits well below the pack at $175, reflecting some caution on the durability of the recovery narrative.</w:t>
      </w:r>
    </w:p>
    <w:p>
      <w:pPr>
        <w:pStyle w:val="BodyText"/>
      </w:pPr>
      <w:r>
        <w:rPr>
          <w:b/>
          <w:bCs/>
        </w:rPr>
        <w:t xml:space="preserve">Consensus estimates for Q2: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~</w:t>
      </w:r>
      <m:oMath>
        <m:r>
          <m:t>2.46</m:t>
        </m:r>
        <m:r>
          <m:rPr>
            <m:sty m:val="p"/>
          </m:rPr>
          <m:t>−</m:t>
        </m:r>
      </m:oMath>
      <w:r>
        <w:t xml:space="preserve">2.47 (vs. $2.42 a year ago, +~2%)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</w:t>
      </w:r>
      <m:oMath>
        <m:r>
          <m:t>2.29</m:t>
        </m:r>
        <m:r>
          <m:rPr>
            <m:sty m:val="p"/>
          </m:rPr>
          <m:t>−</m:t>
        </m:r>
      </m:oMath>
      <w:r>
        <w:t xml:space="preserve">2.30 billion (+~3% y/y)</w:t>
      </w:r>
    </w:p>
    <w:p>
      <w:pPr>
        <w:pStyle w:val="FirstParagraph"/>
      </w:pPr>
      <w:r>
        <w:t xml:space="preserve">This sits squarely inside the company's own guidance range of</w:t>
      </w:r>
      <w:r>
        <w:t xml:space="preserve"> </w:t>
      </w:r>
      <m:oMath>
        <m:r>
          <m:t>2.43</m:t>
        </m:r>
        <m:r>
          <m:rPr>
            <m:sty m:val="p"/>
          </m:rPr>
          <m:t>−</m:t>
        </m:r>
      </m:oMath>
      <w:r>
        <w:rPr>
          <w:b/>
          <w:bCs/>
        </w:rPr>
        <w:t xml:space="preserve">2.53</w:t>
      </w:r>
      <w:r>
        <w:t xml:space="preserve"> </w:t>
      </w:r>
      <w:r>
        <w:t xml:space="preserve">issued alongside Q1 results. Zacks notes AVY has beaten consensus EPS in each of the last four quarters (average surprise ~2.1%), though its "Earnings ESP" model is currently slightly negative, meaning the setup isn't as clearly skewed toward a beat as it has been recently.</w:t>
      </w:r>
    </w:p>
    <w:p>
      <w:r>
        <w:pict>
          <v:rect style="width:0;height:1.5pt" o:hralign="center" o:hrstd="t" o:hr="t"/>
        </w:pict>
      </w:r>
    </w:p>
    <w:bookmarkEnd w:id="9"/>
    <w:bookmarkStart w:id="10" w:name="what-happened-last-quarter-q1-2026-recap"/>
    <w:p>
      <w:pPr>
        <w:pStyle w:val="Heading2"/>
      </w:pPr>
      <w:r>
        <w:t xml:space="preserve">What Happened Last Quarter (Q1 2026 Recap)</w:t>
      </w:r>
    </w:p>
    <w:p>
      <w:pPr>
        <w:pStyle w:val="FirstParagraph"/>
      </w:pPr>
      <w:r>
        <w:t xml:space="preserve">Avery Dennison delivered a solid start to the year: adjusted EPS of $2.47 (up 7% y/y, above the midpoint of guidance) on organic sales growth of 1%, with</w:t>
      </w:r>
      <w:r>
        <w:t xml:space="preserve"> </w:t>
      </w:r>
      <w:r>
        <w:rPr>
          <w:b/>
          <w:bCs/>
        </w:rPr>
        <w:t xml:space="preserve">mid-single-digit volume/mix growth</w:t>
      </w:r>
      <w:r>
        <w:t xml:space="preserve"> </w:t>
      </w:r>
      <w:r>
        <w:t xml:space="preserve">offsetting deflation-related pricing headwinds. Materials Group did the heavy lifting (adjusted EBITDA up 12%), while Solutions Group margins compressed 80 bps on higher employee costs, softer base-category volumes, and continued growth investments.</w:t>
      </w:r>
    </w:p>
    <w:p>
      <w:pPr>
        <w:pStyle w:val="BodyText"/>
      </w:pPr>
      <w:r>
        <w:t xml:space="preserve">Critically, management flagged that</w:t>
      </w:r>
      <w:r>
        <w:t xml:space="preserve"> </w:t>
      </w:r>
      <w:r>
        <w:rPr>
          <w:b/>
          <w:bCs/>
        </w:rPr>
        <w:t xml:space="preserve">roughly $0.05 of Q1 EPS came from customer prebuying</w:t>
      </w:r>
      <w:r>
        <w:t xml:space="preserve"> </w:t>
      </w:r>
      <w:r>
        <w:t xml:space="preserve">ahead of price increases — activity concentrated in the last few weeks of March that persisted into April. This prebuy is the single biggest swing factor for the Q2 print.</w:t>
      </w:r>
    </w:p>
    <w:p>
      <w:r>
        <w:pict>
          <v:rect style="width:0;height:1.5pt" o:hralign="center" o:hrstd="t" o:hr="t"/>
        </w:pict>
      </w:r>
    </w:p>
    <w:bookmarkEnd w:id="10"/>
    <w:bookmarkStart w:id="11" w:name="X42375e7bbc624e50762024f654153f3e54cd9a9"/>
    <w:p>
      <w:pPr>
        <w:pStyle w:val="Heading2"/>
      </w:pPr>
      <w:r>
        <w:t xml:space="preserve">The Big Watch Item: Prebuy Unwind &amp; Inflation Pass-Through</w:t>
      </w:r>
    </w:p>
    <w:p>
      <w:pPr>
        <w:pStyle w:val="FirstParagraph"/>
      </w:pPr>
      <w:r>
        <w:t xml:space="preserve">Management was explicit that this dynamic would largely reverse in Q2: "we currently expect this volume to largely unwind during the second half of Q2." That</w:t>
      </w:r>
      <w:r>
        <w:t xml:space="preserve"> </w:t>
      </w:r>
      <m:oMath>
        <m:r>
          <m:t>0.05</m:t>
        </m:r>
        <m:r>
          <m:t>p</m:t>
        </m:r>
        <m:r>
          <m:t>r</m:t>
        </m:r>
        <m:r>
          <m:t>e</m:t>
        </m:r>
        <m:r>
          <m:t>b</m:t>
        </m:r>
        <m:r>
          <m:t>u</m:t>
        </m:r>
        <m:r>
          <m:t>y</m:t>
        </m:r>
        <m:r>
          <m:t>t</m:t>
        </m:r>
        <m:r>
          <m:t>a</m:t>
        </m:r>
        <m:r>
          <m:t>i</m:t>
        </m:r>
        <m:r>
          <m:t>l</m:t>
        </m:r>
        <m:r>
          <m:t>w</m:t>
        </m:r>
        <m:r>
          <m:t>i</m:t>
        </m:r>
        <m:r>
          <m:t>n</m:t>
        </m:r>
        <m:r>
          <m:t>d</m:t>
        </m:r>
        <m:r>
          <m:t>b</m:t>
        </m:r>
        <m:r>
          <m:t>e</m:t>
        </m:r>
        <m:r>
          <m:t>c</m:t>
        </m:r>
        <m:r>
          <m:t>o</m:t>
        </m:r>
        <m:r>
          <m:t>m</m:t>
        </m:r>
        <m:r>
          <m:t>e</m:t>
        </m:r>
        <m:r>
          <m:t>s</m:t>
        </m:r>
        <m:r>
          <m:t>a</m:t>
        </m:r>
        <m:r>
          <m:t> </m:t>
        </m:r>
      </m:oMath>
      <w:r>
        <w:t xml:space="preserve">0.10 sequential swing (prebuy reversing plus the normal seasonal step-up not fully showing through), which is the main reason guidance implies</w:t>
      </w:r>
      <w:r>
        <w:t xml:space="preserve"> </w:t>
      </w:r>
      <w:r>
        <w:rPr>
          <w:b/>
          <w:bCs/>
        </w:rPr>
        <w:t xml:space="preserve">roughly flat EPS sequentially versus Q1</w:t>
      </w:r>
      <w:r>
        <w:t xml:space="preserve"> </w:t>
      </w:r>
      <w:r>
        <w:t xml:space="preserve">despite Q2 typically being seasonally stronger.</w:t>
      </w:r>
    </w:p>
    <w:p>
      <w:pPr>
        <w:pStyle w:val="BodyText"/>
      </w:pPr>
      <w:r>
        <w:t xml:space="preserve">Layered on top of this is a genuine</w:t>
      </w:r>
      <w:r>
        <w:t xml:space="preserve"> </w:t>
      </w:r>
      <w:r>
        <w:rPr>
          <w:b/>
          <w:bCs/>
        </w:rPr>
        <w:t xml:space="preserve">inflation shock</w:t>
      </w:r>
      <w:r>
        <w:t xml:space="preserve">: raw material costs shifted from low-single-digit deflation in Q1 to</w:t>
      </w:r>
      <w:r>
        <w:t xml:space="preserve"> </w:t>
      </w:r>
      <w:r>
        <w:rPr>
          <w:b/>
          <w:bCs/>
        </w:rPr>
        <w:t xml:space="preserve">high-single-digit sequential inflation expected in Q2</w:t>
      </w:r>
      <w:r>
        <w:t xml:space="preserve">, driven by petrochemical-linked commodities. Management's confidence hinges on their pricing playbook — CFO Greg Lovins indicated low-to-mid-single-digit sequential price increases to offset this, with a "slight overall net price increase" expected year-over-year in Q2, though a modest price-cost lag headwind could persist into Q3. Investors should watch: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Magnitude of the destocking hit</w:t>
      </w:r>
      <w:r>
        <w:t xml:space="preserve"> </w:t>
      </w:r>
      <w:r>
        <w:t xml:space="preserve">to Materials Group label volumes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Price realization</w:t>
      </w:r>
      <w:r>
        <w:t xml:space="preserve"> </w:t>
      </w:r>
      <w:r>
        <w:t xml:space="preserve">relative to the inflation curve (any gap here pressures margins)</w:t>
      </w:r>
    </w:p>
    <w:p>
      <w:pPr>
        <w:pStyle w:val="Compact"/>
        <w:numPr>
          <w:ilvl w:val="0"/>
          <w:numId w:val="1002"/>
        </w:numPr>
      </w:pPr>
      <w:r>
        <w:t xml:space="preserve">Whether high-value categories (Graphics &amp; Reflectives, Performance Materials) show the</w:t>
      </w:r>
      <w:r>
        <w:t xml:space="preserve"> </w:t>
      </w:r>
      <w:r>
        <w:rPr>
          <w:b/>
          <w:bCs/>
        </w:rPr>
        <w:t xml:space="preserve">sequential improvement</w:t>
      </w:r>
      <w:r>
        <w:t xml:space="preserve"> </w:t>
      </w:r>
      <w:r>
        <w:t xml:space="preserve">management promised after a soft Q1 tied to tough comps and auto-market softness</w:t>
      </w:r>
    </w:p>
    <w:p>
      <w:r>
        <w:pict>
          <v:rect style="width:0;height:1.5pt" o:hralign="center" o:hrstd="t" o:hr="t"/>
        </w:pict>
      </w:r>
    </w:p>
    <w:bookmarkEnd w:id="11"/>
    <w:bookmarkStart w:id="12" w:name="segment-dynamics-to-track"/>
    <w:p>
      <w:pPr>
        <w:pStyle w:val="Heading2"/>
      </w:pPr>
      <w:r>
        <w:t xml:space="preserve">Segment Dynamics to Track</w:t>
      </w:r>
    </w:p>
    <w:p>
      <w:pPr>
        <w:pStyle w:val="FirstParagraph"/>
      </w:pPr>
      <w:r>
        <w:rPr>
          <w:b/>
          <w:bCs/>
        </w:rPr>
        <w:t xml:space="preserve">Materials Group</w:t>
      </w:r>
      <w:r>
        <w:t xml:space="preserve"> </w:t>
      </w:r>
      <w:r>
        <w:t xml:space="preserve">— The steadier of the two segments. Q1 organic growth of ~2% was driven by strong base label materials (up mid-single digits across all regions) while high-value categories lagged. Watch for confirmation that Graphics/Reflectives and Performance Materials are inflecting positive as promised, and how margins hold up against the inflation spike.</w:t>
      </w:r>
    </w:p>
    <w:p>
      <w:pPr>
        <w:pStyle w:val="BodyText"/>
      </w:pPr>
      <w:r>
        <w:rPr>
          <w:b/>
          <w:bCs/>
        </w:rPr>
        <w:t xml:space="preserve">Solutions Group</w:t>
      </w:r>
      <w:r>
        <w:t xml:space="preserve"> </w:t>
      </w:r>
      <w:r>
        <w:t xml:space="preserve">— The more challenged segment (Q1 organic sales -1%, EBITDA margin down 80 bps). Vestcom and Embelex have been bright spots (mid-single-digit growth), while base categories and apparel remain soft. Key question: does margin pressure from wage inflation and growth investments persist, or does productivity start to offset it?</w:t>
      </w:r>
    </w:p>
    <w:p>
      <w:pPr>
        <w:pStyle w:val="BodyText"/>
      </w:pPr>
      <w:r>
        <w:rPr>
          <w:b/>
          <w:bCs/>
        </w:rPr>
        <w:t xml:space="preserve">Intelligent Labels (Enterprise-wide platform)</w:t>
      </w:r>
      <w:r>
        <w:t xml:space="preserve"> </w:t>
      </w:r>
      <w:r>
        <w:t xml:space="preserve">— This is the long-term growth story and the most closely watched sub-segment. Q1 sales were down low-single-digits overall — better than feared in apparel/general retail (up low-single-digits despite a tough tariff-related comp) but weak in logistics (down low-double-digits) due to softer customer demand and a chip transition at a key partner. Management reiterated that</w:t>
      </w:r>
      <w:r>
        <w:t xml:space="preserve"> </w:t>
      </w:r>
      <w:r>
        <w:rPr>
          <w:b/>
          <w:bCs/>
        </w:rPr>
        <w:t xml:space="preserve">2026 IL growth should outpace 2025, with performance "more heavily weighted towards the second half of the year"</w:t>
      </w:r>
      <w:r>
        <w:t xml:space="preserve"> </w:t>
      </w:r>
      <w:r>
        <w:t xml:space="preserve">as the largest U.S. grocery retailer rollout (bakery, meat, deli) ramps and new apparel programs launch. Any commentary suggesting this second-half inflection is slipping would be a red flag; continued momentum in apparel and early signs of the food ramp would be reassuring. The recent</w:t>
      </w:r>
      <w:r>
        <w:t xml:space="preserve"> </w:t>
      </w:r>
      <w:r>
        <w:rPr>
          <w:b/>
          <w:bCs/>
        </w:rPr>
        <w:t xml:space="preserve">incremental $75 million investment in Wiliot</w:t>
      </w:r>
      <w:r>
        <w:t xml:space="preserve"> </w:t>
      </w:r>
      <w:r>
        <w:t xml:space="preserve">(Bluetooth-based condition-monitoring sensor technology, expanding the addressable market by an estimated 75 billion units long-term) is a strategic signal worth monitoring for updates on commercial traction.</w:t>
      </w:r>
    </w:p>
    <w:p>
      <w:r>
        <w:pict>
          <v:rect style="width:0;height:1.5pt" o:hralign="center" o:hrstd="t" o:hr="t"/>
        </w:pict>
      </w:r>
    </w:p>
    <w:bookmarkEnd w:id="12"/>
    <w:bookmarkStart w:id="13" w:name="capital-allocation--balance-sheet"/>
    <w:p>
      <w:pPr>
        <w:pStyle w:val="Heading2"/>
      </w:pPr>
      <w:r>
        <w:t xml:space="preserve">Capital Allocation &amp; Balance Sheet</w:t>
      </w:r>
    </w:p>
    <w:p>
      <w:pPr>
        <w:pStyle w:val="FirstParagraph"/>
      </w:pPr>
      <w:r>
        <w:t xml:space="preserve">Q1 saw $104 million in adjusted free cash flow and</w:t>
      </w:r>
      <w:r>
        <w:t xml:space="preserve"> </w:t>
      </w:r>
      <m:oMath>
        <m:r>
          <m:t>133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t>e</m:t>
        </m:r>
        <m:r>
          <m:t>d</m:t>
        </m:r>
        <m:r>
          <m:t>t</m:t>
        </m:r>
        <m:r>
          <m:t>o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h</m:t>
        </m:r>
        <m:r>
          <m:t>o</m:t>
        </m:r>
        <m:r>
          <m:t>l</m:t>
        </m:r>
        <m:r>
          <m:t>d</m:t>
        </m:r>
        <m:r>
          <m:t>e</m:t>
        </m:r>
        <m:r>
          <m:t>r</m:t>
        </m:r>
        <m:r>
          <m:t>s</m:t>
        </m:r>
        <m:r>
          <m:rPr>
            <m:sty m:val="p"/>
          </m:rPr>
          <m:t>(</m:t>
        </m:r>
      </m:oMath>
      <w:r>
        <w:t xml:space="preserve">72M dividends,</w:t>
      </w:r>
      <w:r>
        <w:t xml:space="preserve"> </w:t>
      </w:r>
      <m:oMath>
        <m:r>
          <m:t>61</m:t>
        </m:r>
        <m:r>
          <m:t>M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n</m:t>
        </m:r>
        <m:r>
          <m:t>e</m:t>
        </m:r>
        <m:r>
          <m:t>t</m:t>
        </m:r>
        <m:r>
          <m:t>d</m:t>
        </m:r>
        <m:r>
          <m:t>e</m:t>
        </m:r>
        <m:r>
          <m:t>b</m:t>
        </m:r>
        <m:r>
          <m:t>t</m:t>
        </m:r>
        <m:r>
          <m:rPr>
            <m:sty m:val="p"/>
          </m:rPr>
          <m:t>/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t>a</m:t>
        </m:r>
        <m:r>
          <m:t>t</m:t>
        </m:r>
        <m:r>
          <m:t>a</m:t>
        </m:r>
        <m:r>
          <m:t>c</m:t>
        </m:r>
        <m:r>
          <m:t>o</m:t>
        </m:r>
        <m:r>
          <m:t>m</m:t>
        </m:r>
        <m:r>
          <m:t>f</m:t>
        </m:r>
        <m:r>
          <m:t>o</m:t>
        </m:r>
        <m:r>
          <m:t>r</m:t>
        </m:r>
        <m:r>
          <m:t>t</m:t>
        </m:r>
        <m:r>
          <m:t>a</m:t>
        </m:r>
        <m:r>
          <m:t>b</m:t>
        </m:r>
        <m:r>
          <m:t>l</m:t>
        </m:r>
        <m:r>
          <m:t>e</m:t>
        </m:r>
        <m:r>
          <m:t>2.4</m:t>
        </m:r>
        <m:r>
          <m:t>x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u</m:t>
        </m:r>
        <m:r>
          <m:t>s</m:t>
        </m:r>
        <m:r>
          <m:t>e</m:t>
        </m:r>
        <m:r>
          <m:t>s</m:t>
        </m:r>
        <m:r>
          <m:t>a</m:t>
        </m:r>
        <m:r>
          <m:t>r</m:t>
        </m:r>
        <m:r>
          <m:t>e</m:t>
        </m:r>
        <m:r>
          <m:t>t</m:t>
        </m:r>
        <m:r>
          <m:t>u</m:t>
        </m:r>
        <m:r>
          <m:t>r</m:t>
        </m:r>
        <m:r>
          <m:t>n</m:t>
        </m:r>
        <m:r>
          <m:rPr>
            <m:sty m:val="p"/>
          </m:rPr>
          <m:t>−</m:t>
        </m:r>
        <m:r>
          <m:t>b</m:t>
        </m:r>
        <m:r>
          <m:t>a</m:t>
        </m:r>
        <m:r>
          <m:t>s</m:t>
        </m:r>
        <m:r>
          <m:t>e</m:t>
        </m:r>
        <m:r>
          <m:t>d</m:t>
        </m:r>
        <m:r>
          <m:rPr>
            <m:sty m:val="p"/>
          </m:rPr>
          <m:t>,</m:t>
        </m:r>
        <m:r>
          <m:t>o</m:t>
        </m:r>
        <m:r>
          <m:t>p</m:t>
        </m:r>
        <m:r>
          <m:t>p</m:t>
        </m:r>
        <m:r>
          <m:t>o</m:t>
        </m:r>
        <m:r>
          <m:t>r</m:t>
        </m:r>
        <m:r>
          <m:t>t</m:t>
        </m:r>
        <m:r>
          <m:t>u</m:t>
        </m:r>
        <m:r>
          <m:t>n</m:t>
        </m:r>
        <m:r>
          <m:t>i</m:t>
        </m:r>
        <m:r>
          <m:t>s</m:t>
        </m:r>
        <m:r>
          <m:t>t</m:t>
        </m:r>
        <m:r>
          <m:t>i</m:t>
        </m:r>
        <m:r>
          <m:t>c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a</m:t>
        </m:r>
        <m:r>
          <m:t>c</m:t>
        </m:r>
        <m:r>
          <m:t>h</m:t>
        </m:r>
        <m:r>
          <m:rPr>
            <m:sty m:val="p"/>
          </m:rPr>
          <m:t>(</m:t>
        </m:r>
        <m:r>
          <m:t>a</m:t>
        </m:r>
        <m:r>
          <m:t>c</m:t>
        </m:r>
        <m:r>
          <m:t>c</m:t>
        </m:r>
        <m:r>
          <m:t>e</m:t>
        </m:r>
        <m:r>
          <m:t>l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s</m:t>
        </m:r>
        <m:r>
          <m:t>w</m:t>
        </m:r>
        <m:r>
          <m:t>h</m:t>
        </m:r>
        <m:r>
          <m:t>e</m:t>
        </m:r>
        <m:r>
          <m:t>n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w</m:t>
        </m:r>
        <m:r>
          <m:t>e</m:t>
        </m:r>
        <m:r>
          <m:t>a</m:t>
        </m:r>
        <m:r>
          <m:t>k</m:t>
        </m:r>
        <m:r>
          <m:t>e</m:t>
        </m:r>
        <m:r>
          <m:t>n</m:t>
        </m:r>
        <m:r>
          <m:t>s</m:t>
        </m:r>
        <m:r>
          <m:rPr>
            <m:sty m:val="p"/>
          </m:rPr>
          <m:t>,</m:t>
        </m:r>
        <m:r>
          <m:t>a</m:t>
        </m:r>
        <m:r>
          <m:t>s</m:t>
        </m:r>
        <m:r>
          <m:t>i</m:t>
        </m:r>
        <m:r>
          <m:t>t</m:t>
        </m:r>
        <m:r>
          <m:t>d</m:t>
        </m:r>
        <m:r>
          <m:t>i</m:t>
        </m:r>
        <m:r>
          <m:t>d</m:t>
        </m:r>
        <m:r>
          <m:t>i</m:t>
        </m:r>
        <m:r>
          <m:t>n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G</m:t>
        </m:r>
        <m:r>
          <m:t>i</m:t>
        </m:r>
        <m:r>
          <m:t>v</m:t>
        </m:r>
        <m:r>
          <m:t>e</m:t>
        </m:r>
        <m:r>
          <m:t>n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sSup>
          <m:e>
            <m:r>
              <m:t>k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p</m:t>
        </m:r>
        <m:r>
          <m:t>u</m:t>
        </m:r>
        <m:r>
          <m:t>l</m:t>
        </m:r>
        <m:r>
          <m:t>l</m:t>
        </m:r>
        <m:r>
          <m:t>b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</m:oMath>
      <w:r>
        <w:t xml:space="preserve">150s/high-$150s range in June and July before this week's bounce, it's worth watching whether repurchase activity picked up — this could be a modest tailwind to the print and a signal of management's confidence.</w:t>
      </w:r>
    </w:p>
    <w:p>
      <w:pPr>
        <w:pStyle w:val="BodyText"/>
      </w:pPr>
      <w:r>
        <w:t xml:space="preserve">Full-year 2026 guidance context to reconcile against: a ~</w:t>
      </w:r>
      <m:oMath>
        <m:r>
          <m:t>0.25</m:t>
        </m:r>
        <m:r>
          <m:t>n</m:t>
        </m:r>
        <m:r>
          <m:t>e</m:t>
        </m:r>
        <m:r>
          <m:t>t</m:t>
        </m:r>
        <m:r>
          <m:t>E</m:t>
        </m:r>
        <m:r>
          <m:t>P</m:t>
        </m:r>
        <m:r>
          <m:t>S</m:t>
        </m:r>
        <m:r>
          <m:t>t</m:t>
        </m:r>
        <m:r>
          <m:t>a</m:t>
        </m:r>
        <m:r>
          <m:t>i</m:t>
        </m:r>
        <m:r>
          <m:t>l</m:t>
        </m:r>
        <m:r>
          <m:t>w</m:t>
        </m:r>
        <m:r>
          <m:t>i</m:t>
        </m:r>
        <m:r>
          <m:t>n</m:t>
        </m:r>
        <m:r>
          <m:t>d</m:t>
        </m:r>
        <m:r>
          <m:t>f</m:t>
        </m:r>
        <m:r>
          <m:t>r</m:t>
        </m:r>
        <m:r>
          <m:t>o</m:t>
        </m:r>
        <m:r>
          <m:t>m</m:t>
        </m:r>
        <m:r>
          <m:t>c</m:t>
        </m:r>
        <m:r>
          <m:t>u</m:t>
        </m:r>
        <m:r>
          <m:t>r</m:t>
        </m:r>
        <m:r>
          <m:t>r</m:t>
        </m:r>
        <m:r>
          <m:t>e</m:t>
        </m:r>
        <m:r>
          <m:t>n</m:t>
        </m:r>
        <m:r>
          <m:t>c</m:t>
        </m:r>
        <m:r>
          <m:t>y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c</m:t>
        </m:r>
        <m:r>
          <m:t>o</m:t>
        </m:r>
        <m:r>
          <m:t>u</m:t>
        </m:r>
        <m:r>
          <m:t>n</m:t>
        </m:r>
        <m:r>
          <m:t>t</m:t>
        </m:r>
        <m:r>
          <m:rPr>
            <m:sty m:val="p"/>
          </m:rPr>
          <m:t>(</m:t>
        </m:r>
        <m:r>
          <m:t>p</m:t>
        </m:r>
        <m:r>
          <m:t>a</m:t>
        </m:r>
        <m:r>
          <m:t>r</m:t>
        </m:r>
        <m:r>
          <m:t>t</m:t>
        </m:r>
        <m:r>
          <m:t>l</m:t>
        </m:r>
        <m:r>
          <m:t>y</m:t>
        </m:r>
        <m:r>
          <m:t>o</m:t>
        </m:r>
        <m:r>
          <m:t>f</m:t>
        </m:r>
        <m:r>
          <m:t>f</m:t>
        </m:r>
        <m:r>
          <m:t>s</m:t>
        </m:r>
        <m:r>
          <m:t>e</m:t>
        </m:r>
        <m:r>
          <m:t>t</m:t>
        </m:r>
        <m:r>
          <m:t>b</m:t>
        </m:r>
        <m:r>
          <m:t>y</m:t>
        </m:r>
        <m:r>
          <m:t>t</m:t>
        </m:r>
        <m:r>
          <m:t>a</m:t>
        </m:r>
        <m:r>
          <m:t>x</m:t>
        </m:r>
        <m:r>
          <m:rPr>
            <m:sty m:val="p"/>
          </m:rPr>
          <m:t>/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e</m:t>
        </m:r>
        <m:r>
          <m:t>s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r</m:t>
        </m:r>
        <m:r>
          <m:t>e</m:t>
        </m:r>
        <m:r>
          <m:t>s</m:t>
        </m:r>
        <m:r>
          <m:t>t</m:t>
        </m:r>
        <m:r>
          <m:t>r</m:t>
        </m:r>
        <m:r>
          <m:t>u</m:t>
        </m:r>
        <m:r>
          <m:t>c</m:t>
        </m:r>
        <m:r>
          <m:t>t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&gt;</m:t>
        </m:r>
      </m:oMath>
      <w:r>
        <w:t xml:space="preserve">55 million**, ~100% adjusted FCF conversion target, and ~$260 million of capital spending.</w:t>
      </w:r>
    </w:p>
    <w:p>
      <w:r>
        <w:pict>
          <v:rect style="width:0;height:1.5pt" o:hralign="center" o:hrstd="t" o:hr="t"/>
        </w:pict>
      </w:r>
    </w:p>
    <w:bookmarkEnd w:id="13"/>
    <w:bookmarkStart w:id="14" w:name="governance-note"/>
    <w:p>
      <w:pPr>
        <w:pStyle w:val="Heading2"/>
      </w:pPr>
      <w:r>
        <w:t xml:space="preserve">Governance Note</w:t>
      </w:r>
    </w:p>
    <w:p>
      <w:pPr>
        <w:pStyle w:val="FirstParagraph"/>
      </w:pPr>
      <w:r>
        <w:t xml:space="preserve">At the April 30, 2026 annual meeting, shareholders</w:t>
      </w:r>
      <w:r>
        <w:t xml:space="preserve"> </w:t>
      </w:r>
      <w:r>
        <w:rPr>
          <w:b/>
          <w:bCs/>
        </w:rPr>
        <w:t xml:space="preserve">rejected a stockholder proposal for an independent Board Chairman</w:t>
      </w:r>
      <w:r>
        <w:t xml:space="preserve"> </w:t>
      </w:r>
      <w:r>
        <w:t xml:space="preserve">(proposal failed, though it drew meaningful support — roughly 39% for vs. 61% against of votes cast). This isn't an earnings driver, but it's a live governance overhang analysts may probe on the call, particularly if activist pressure persists.</w:t>
      </w:r>
    </w:p>
    <w:p>
      <w:r>
        <w:pict>
          <v:rect style="width:0;height:1.5pt" o:hralign="center" o:hrstd="t" o:hr="t"/>
        </w:pict>
      </w:r>
    </w:p>
    <w:bookmarkEnd w:id="14"/>
    <w:bookmarkStart w:id="15" w:name="key-questions-for-the-call"/>
    <w:p>
      <w:pPr>
        <w:pStyle w:val="Heading2"/>
      </w:pPr>
      <w:r>
        <w:t xml:space="preserve">Key Questions for the Call</w:t>
      </w:r>
    </w:p>
    <w:p>
      <w:pPr>
        <w:pStyle w:val="Compact"/>
        <w:numPr>
          <w:ilvl w:val="0"/>
          <w:numId w:val="1003"/>
        </w:numPr>
      </w:pPr>
      <w:r>
        <w:t xml:space="preserve">Did label-materials destocking come in as expected, or worse/better than the "roughly a month" of inventory build flagged in Q1?</w:t>
      </w:r>
    </w:p>
    <w:p>
      <w:pPr>
        <w:pStyle w:val="Compact"/>
        <w:numPr>
          <w:ilvl w:val="0"/>
          <w:numId w:val="1003"/>
        </w:numPr>
      </w:pPr>
      <w:r>
        <w:t xml:space="preserve">Is price realization keeping pace with the high-single-digit sequential raw material inflation, or is there a lag creating margin risk into Q3?</w:t>
      </w:r>
    </w:p>
    <w:p>
      <w:pPr>
        <w:pStyle w:val="Compact"/>
        <w:numPr>
          <w:ilvl w:val="0"/>
          <w:numId w:val="1003"/>
        </w:numPr>
      </w:pPr>
      <w:r>
        <w:t xml:space="preserve">What's the tone on Intelligent Labels' second-half ramp — particularly early signals from the Walmart food rollout and new apparel program launches?</w:t>
      </w:r>
    </w:p>
    <w:p>
      <w:pPr>
        <w:pStyle w:val="Compact"/>
        <w:numPr>
          <w:ilvl w:val="0"/>
          <w:numId w:val="1003"/>
        </w:numPr>
      </w:pPr>
      <w:r>
        <w:t xml:space="preserve">Are high-value categories in Materials Group (Graphics &amp; Reflectives, Performance Materials) showing the sequential recovery management promised?</w:t>
      </w:r>
    </w:p>
    <w:p>
      <w:pPr>
        <w:pStyle w:val="Compact"/>
        <w:numPr>
          <w:ilvl w:val="0"/>
          <w:numId w:val="1003"/>
        </w:numPr>
      </w:pPr>
      <w:r>
        <w:t xml:space="preserve">Any incremental read-through on tariffs, consumer elasticity, or apparel sell-through given persistently low inventory-to-sales ratios in that channel?</w:t>
      </w:r>
    </w:p>
    <w:p>
      <w:pPr>
        <w:pStyle w:val="Compact"/>
        <w:numPr>
          <w:ilvl w:val="0"/>
          <w:numId w:val="1003"/>
        </w:numPr>
      </w:pPr>
      <w:r>
        <w:t xml:space="preserve">Pace and sizing of share repurchases given the stock's volatility over the past quarter.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a</w:t>
      </w:r>
      <w:r>
        <w:t xml:space="preserve"> </w:t>
      </w:r>
      <w:r>
        <w:rPr>
          <w:b/>
          <w:bCs/>
        </w:rPr>
        <w:t xml:space="preserve">transition-quarter print</w:t>
      </w:r>
      <w:r>
        <w:t xml:space="preserve">: guidance already bakes in a sequential EPS plateau as the March/April prebuy unwinds against a real inflation shock, so the bar is calibrated for roughly flat-to-modestly-up sequential earnings rather than the seasonal step-up investors might otherwise expect. The more important signal for the stock is likely to be</w:t>
      </w:r>
      <w:r>
        <w:t xml:space="preserve"> </w:t>
      </w:r>
      <w:r>
        <w:rPr>
          <w:b/>
          <w:bCs/>
        </w:rPr>
        <w:t xml:space="preserve">forward-looking commentary</w:t>
      </w:r>
      <w:r>
        <w:t xml:space="preserve"> </w:t>
      </w:r>
      <w:r>
        <w:t xml:space="preserve">— confirmation that pricing is tracking inflation, that high-value categories and Intelligent Labels are on track to inflect in the second half, and that full-year sequential earnings growth guidance remains intact. A beat-and-raise on Q2 combined with confident 2H commentary on the Walmart/food IL ramp would likely be well received given the stock's recent underperformance and the wide gap to analyst price targets; any hedging on the inflation/pricing offset or a further slip in the IL ramp timeline would raise concerns about the "resilient, diversified portfolio" thesis management has leaned on all year.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2026-07-29T19:05:53Z</dcterms:created>
  <dcterms:modified xsi:type="dcterms:W3CDTF">2026-07-29T19:05:53Z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