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c636557e466bb8a254a3d6438085c29422903b8"/>
    <w:p>
      <w:pPr>
        <w:pStyle w:val="Heading1"/>
      </w:pPr>
      <w:r>
        <w:t xml:space="preserve">Avery Dennison (NYSE: AVY) — Q2 2026 Earnings Preview</w:t>
      </w:r>
    </w:p>
    <w:p>
      <w:pPr>
        <w:pStyle w:val="FirstParagraph"/>
      </w:pPr>
      <w:r>
        <w:rPr>
          <w:b/>
          <w:bCs/>
        </w:rPr>
        <w:t xml:space="preserve">Report:</w:t>
      </w:r>
      <w:r>
        <w:t xml:space="preserve"> </w:t>
      </w:r>
      <w:r>
        <w:t xml:space="preserve">Thursday, July 30, 2026, before the market opens</w:t>
      </w:r>
      <w:r>
        <w:br/>
      </w:r>
      <w:r>
        <w:rPr>
          <w:b/>
          <w:bCs/>
        </w:rPr>
        <w:t xml:space="preserve">Conference call:</w:t>
      </w:r>
      <w:r>
        <w:t xml:space="preserve"> </w:t>
      </w:r>
      <w:r>
        <w:t xml:space="preserve">11:00 a.m. ET</w:t>
      </w:r>
      <w:r>
        <w:br/>
      </w:r>
      <w:r>
        <w:rPr>
          <w:b/>
          <w:bCs/>
        </w:rPr>
        <w:t xml:space="preserve">Closing price on July 29:</w:t>
      </w:r>
      <w:r>
        <w:t xml:space="preserve"> </w:t>
      </w:r>
      <w:r>
        <w:t xml:space="preserve">$166.42</w:t>
      </w:r>
    </w:p>
    <w:bookmarkStart w:id="10" w:name="investment-view-going-into-the-print"/>
    <w:p>
      <w:pPr>
        <w:pStyle w:val="Heading2"/>
      </w:pPr>
      <w:r>
        <w:t xml:space="preserve">Investment view going into the print</w:t>
      </w:r>
    </w:p>
    <w:p>
      <w:pPr>
        <w:pStyle w:val="FirstParagraph"/>
      </w:pPr>
      <w:r>
        <w:t xml:space="preserve">Avery Dennison enters Q2 with a relatively modest earnings hurdle but several important moving pieces beneath the headline numbers. The company guided adjusted EPS to</w:t>
      </w:r>
      <w:r>
        <w:t xml:space="preserve"> </w:t>
      </w:r>
      <m:oMath>
        <m:r>
          <m:t>2.43</m:t>
        </m:r>
        <m:r>
          <m:rPr>
            <m:sty m:val="p"/>
          </m:rPr>
          <m:t>–</m:t>
        </m:r>
      </m:oMath>
      <w:r>
        <w:rPr>
          <w:b/>
          <w:bCs/>
        </w:rPr>
        <w:t xml:space="preserve">2.53</w:t>
      </w:r>
      <w:r>
        <w:t xml:space="preserve">, while current consensus is approximately</w:t>
      </w:r>
      <w:r>
        <w:t xml:space="preserve"> </w:t>
      </w:r>
      <m:oMath>
        <m:r>
          <m:t>2.46</m:t>
        </m:r>
        <m:r>
          <m:rPr>
            <m:sty m:val="p"/>
          </m:rPr>
          <m:t>–</m:t>
        </m:r>
      </m:oMath>
      <w:r>
        <w:rPr>
          <w:b/>
          <w:bCs/>
        </w:rPr>
        <w:t xml:space="preserve">2.47</w:t>
      </w:r>
      <w:r>
        <w:t xml:space="preserve">. Revenue consensus is about</w:t>
      </w:r>
      <w:r>
        <w:t xml:space="preserve"> </w:t>
      </w:r>
      <w:r>
        <w:rPr>
          <w:b/>
          <w:bCs/>
        </w:rPr>
        <w:t xml:space="preserve">$2.30 billion</w:t>
      </w:r>
      <w:r>
        <w:t xml:space="preserve">, near the upper end of the range implied by management’s 2%–4% reported-sales growth outlook. (</w:t>
      </w:r>
      <w:hyperlink r:id="rId9">
        <w:r>
          <w:rPr>
            <w:rStyle w:val="Hyperlink"/>
          </w:rPr>
          <w:t xml:space="preserve">marketbeat.com</w:t>
        </w:r>
      </w:hyperlink>
      <w:r>
        <w:t xml:space="preserve">)</w:t>
      </w:r>
    </w:p>
    <w:p>
      <w:pPr>
        <w:pStyle w:val="BodyText"/>
      </w:pPr>
      <w:r>
        <w:t xml:space="preserve">The quarter itself will test whether Avery successfully managed three expected pressures:</w:t>
      </w:r>
    </w:p>
    <w:p>
      <w:pPr>
        <w:pStyle w:val="Compact"/>
        <w:numPr>
          <w:ilvl w:val="0"/>
          <w:numId w:val="1001"/>
        </w:numPr>
      </w:pPr>
      <w:r>
        <w:t xml:space="preserve">Destocking following customers’ March prebuy;</w:t>
      </w:r>
    </w:p>
    <w:p>
      <w:pPr>
        <w:pStyle w:val="Compact"/>
        <w:numPr>
          <w:ilvl w:val="0"/>
          <w:numId w:val="1001"/>
        </w:numPr>
      </w:pPr>
      <w:r>
        <w:t xml:space="preserve">Rapid raw-material inflation and associated price increases; and</w:t>
      </w:r>
    </w:p>
    <w:p>
      <w:pPr>
        <w:pStyle w:val="Compact"/>
        <w:numPr>
          <w:ilvl w:val="0"/>
          <w:numId w:val="1001"/>
        </w:numPr>
      </w:pPr>
      <w:r>
        <w:t xml:space="preserve">Continued weakness in parts of Solutions Group, particularly logistics-related Intelligent Labels.</w:t>
      </w:r>
    </w:p>
    <w:p>
      <w:pPr>
        <w:pStyle w:val="FirstParagraph"/>
      </w:pPr>
      <w:r>
        <w:t xml:space="preserve">The more consequential issue for the stock will probably be management’s confidence in</w:t>
      </w:r>
      <w:r>
        <w:t xml:space="preserve"> </w:t>
      </w:r>
      <w:r>
        <w:rPr>
          <w:b/>
          <w:bCs/>
        </w:rPr>
        <w:t xml:space="preserve">sequential earnings improvement during the second half</w:t>
      </w:r>
      <w:r>
        <w:t xml:space="preserve">, supported by pricing, restructuring savings, recovery in high-value Materials categories, and the ramp of new Intelligent Labels programs.</w:t>
      </w:r>
    </w:p>
    <w:bookmarkEnd w:id="10"/>
    <w:bookmarkStart w:id="11" w:name="expectations-at-a-glance"/>
    <w:p>
      <w:pPr>
        <w:pStyle w:val="Heading2"/>
      </w:pPr>
      <w:r>
        <w:t xml:space="preserve">Expectations at a glance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expectation</w:t>
            </w:r>
          </w:p>
        </w:tc>
        <w:tc>
          <w:tcPr/>
          <w:p>
            <w:pPr>
              <w:pStyle w:val="Compact"/>
              <w:jc w:val="right"/>
            </w:pPr>
            <w:r>
              <w:t xml:space="preserve">Q2 2025 actual</w:t>
            </w:r>
          </w:p>
        </w:tc>
        <w:tc>
          <w:tcPr/>
          <w:p>
            <w:pPr>
              <w:pStyle w:val="Compact"/>
            </w:pPr>
            <w:r>
              <w:t xml:space="preserve">Commentary</w:t>
            </w:r>
          </w:p>
        </w:tc>
      </w:tr>
      <w:tr>
        <w:tc>
          <w:tcPr/>
          <w:p>
            <w:pPr>
              <w:pStyle w:val="Compact"/>
            </w:pPr>
            <w:r>
              <w:t xml:space="preserve">Adjusted EPS</w:t>
            </w:r>
          </w:p>
        </w:tc>
        <w:tc>
          <w:tcPr/>
          <w:p>
            <w:pPr>
              <w:pStyle w:val="Compact"/>
              <w:jc w:val="right"/>
            </w:pPr>
            <w:r>
              <w:t xml:space="preserve">~</w:t>
            </w:r>
            <m:oMath>
              <m:r>
                <m:t>2.46</m:t>
              </m:r>
              <m:r>
                <m:rPr>
                  <m:sty m:val="p"/>
                </m:rPr>
                <m:t>–</m:t>
              </m:r>
            </m:oMath>
            <w:r>
              <w:t xml:space="preserve">2.47 consensus</w:t>
            </w:r>
          </w:p>
        </w:tc>
        <w:tc>
          <w:tcPr/>
          <w:p>
            <w:pPr>
              <w:pStyle w:val="Compact"/>
              <w:jc w:val="right"/>
            </w:pPr>
            <w:r>
              <w:t xml:space="preserve">$2.42</w:t>
            </w:r>
          </w:p>
        </w:tc>
        <w:tc>
          <w:tcPr/>
          <w:p>
            <w:pPr>
              <w:pStyle w:val="Compact"/>
            </w:pPr>
            <w:r>
              <w:t xml:space="preserve">Company guidance:</w:t>
            </w:r>
            <w:r>
              <w:t xml:space="preserve"> </w:t>
            </w:r>
            <m:oMath>
              <m:r>
                <m:t>2.43</m:t>
              </m:r>
              <m:r>
                <m:rPr>
                  <m:sty m:val="p"/>
                </m:rPr>
                <m:t>–</m:t>
              </m:r>
            </m:oMath>
            <w:r>
              <w:t xml:space="preserve">2.53</w:t>
            </w:r>
          </w:p>
        </w:tc>
      </w:tr>
      <w:tr>
        <w:tc>
          <w:tcPr/>
          <w:p>
            <w:pPr>
              <w:pStyle w:val="Compact"/>
            </w:pPr>
            <w:r>
              <w:t xml:space="preserve">Reported EPS</w:t>
            </w:r>
          </w:p>
        </w:tc>
        <w:tc>
          <w:tcPr/>
          <w:p>
            <w:pPr>
              <w:pStyle w:val="Compact"/>
              <w:jc w:val="right"/>
            </w:pPr>
            <m:oMath>
              <m:r>
                <m:t>2.21</m:t>
              </m:r>
              <m:r>
                <m:rPr>
                  <m:sty m:val="p"/>
                </m:rPr>
                <m:t>–</m:t>
              </m:r>
            </m:oMath>
            <w:r>
              <w:t xml:space="preserve">2.31 company guidance</w:t>
            </w:r>
          </w:p>
        </w:tc>
        <w:tc>
          <w:tcPr/>
          <w:p>
            <w:pPr>
              <w:pStyle w:val="Compact"/>
              <w:jc w:val="right"/>
            </w:pPr>
            <w:r>
              <w:t xml:space="preserve">$2.41</w:t>
            </w:r>
          </w:p>
        </w:tc>
        <w:tc>
          <w:tcPr/>
          <w:p>
            <w:pPr>
              <w:pStyle w:val="Compact"/>
            </w:pPr>
            <w:r>
              <w:t xml:space="preserve">Includes roughly $0.22 of expected restructuring and other items</w:t>
            </w:r>
          </w:p>
        </w:tc>
      </w:tr>
      <w:tr>
        <w:tc>
          <w:tcPr/>
          <w:p>
            <w:pPr>
              <w:pStyle w:val="Compact"/>
            </w:pPr>
            <w:r>
              <w:t xml:space="preserve">Revenue</w:t>
            </w:r>
          </w:p>
        </w:tc>
        <w:tc>
          <w:tcPr/>
          <w:p>
            <w:pPr>
              <w:pStyle w:val="Compact"/>
              <w:jc w:val="right"/>
            </w:pPr>
            <w:r>
              <w:t xml:space="preserve">~$2.30B consensus</w:t>
            </w:r>
          </w:p>
        </w:tc>
        <w:tc>
          <w:tcPr/>
          <w:p>
            <w:pPr>
              <w:pStyle w:val="Compact"/>
              <w:jc w:val="right"/>
            </w:pPr>
            <w:r>
              <w:t xml:space="preserve">$2.22B</w:t>
            </w:r>
          </w:p>
        </w:tc>
        <w:tc>
          <w:tcPr/>
          <w:p>
            <w:pPr>
              <w:pStyle w:val="Compact"/>
            </w:pPr>
            <w:r>
              <w:t xml:space="preserve">Company outlook implies approximately</w:t>
            </w:r>
            <w:r>
              <w:t xml:space="preserve"> </w:t>
            </w:r>
            <m:oMath>
              <m:r>
                <m:t>2.26</m:t>
              </m:r>
              <m:r>
                <m:t>B</m:t>
              </m:r>
              <m:r>
                <m:rPr>
                  <m:sty m:val="p"/>
                </m:rPr>
                <m:t>–</m:t>
              </m:r>
            </m:oMath>
            <w:r>
              <w:t xml:space="preserve">2.31B</w:t>
            </w:r>
          </w:p>
        </w:tc>
      </w:tr>
      <w:tr>
        <w:tc>
          <w:tcPr/>
          <w:p>
            <w:pPr>
              <w:pStyle w:val="Compact"/>
            </w:pPr>
            <w:r>
              <w:t xml:space="preserve">Reported sales growth</w:t>
            </w:r>
          </w:p>
        </w:tc>
        <w:tc>
          <w:tcPr/>
          <w:p>
            <w:pPr>
              <w:pStyle w:val="Compact"/>
              <w:jc w:val="right"/>
            </w:pPr>
            <w:r>
              <w:t xml:space="preserve">2%–4%</w:t>
            </w:r>
          </w:p>
        </w:tc>
        <w:tc>
          <w:tcPr/>
          <w:p>
            <w:pPr>
              <w:pStyle w:val="Compact"/>
              <w:jc w:val="right"/>
            </w:pPr>
            <w:r>
              <w:t xml:space="preserve">(0.7)%</w:t>
            </w:r>
          </w:p>
        </w:tc>
        <w:tc>
          <w:tcPr/>
          <w:p>
            <w:pPr>
              <w:pStyle w:val="Compact"/>
            </w:pPr>
            <w:r>
              <w:t xml:space="preserve">Includes roughly 1 point each from currency and acquisition</w:t>
            </w:r>
          </w:p>
        </w:tc>
      </w:tr>
      <w:tr>
        <w:tc>
          <w:tcPr/>
          <w:p>
            <w:pPr>
              <w:pStyle w:val="Compact"/>
            </w:pPr>
            <w:r>
              <w:t xml:space="preserve">Organic sales growth</w:t>
            </w:r>
          </w:p>
        </w:tc>
        <w:tc>
          <w:tcPr/>
          <w:p>
            <w:pPr>
              <w:pStyle w:val="Compact"/>
              <w:jc w:val="right"/>
            </w:pPr>
            <w:r>
              <w:t xml:space="preserve">0%–2%</w:t>
            </w:r>
          </w:p>
        </w:tc>
        <w:tc>
          <w:tcPr/>
          <w:p>
            <w:pPr>
              <w:pStyle w:val="Compact"/>
              <w:jc w:val="right"/>
            </w:pPr>
            <w:r>
              <w:t xml:space="preserve">(1.0)%</w:t>
            </w:r>
          </w:p>
        </w:tc>
        <w:tc>
          <w:tcPr/>
          <w:p>
            <w:pPr>
              <w:pStyle w:val="Compact"/>
            </w:pPr>
            <w:r>
              <w:t xml:space="preserve">Destocking is the principal expected volume headwind</w:t>
            </w:r>
          </w:p>
        </w:tc>
      </w:tr>
      <w:tr>
        <w:tc>
          <w:tcPr/>
          <w:p>
            <w:pPr>
              <w:pStyle w:val="Compact"/>
            </w:pPr>
            <w:r>
              <w:t xml:space="preserve">Q3 adjusted EPS consensus</w:t>
            </w:r>
          </w:p>
        </w:tc>
        <w:tc>
          <w:tcPr/>
          <w:p>
            <w:pPr>
              <w:pStyle w:val="Compact"/>
              <w:jc w:val="right"/>
            </w:pPr>
            <w:r>
              <w:t xml:space="preserve">~$2.51</w:t>
            </w:r>
          </w:p>
        </w:tc>
        <w:tc>
          <w:tcPr/>
          <w:p>
            <w:pPr>
              <w:pStyle w:val="Compact"/>
              <w:jc w:val="right"/>
            </w:pPr>
            <w:r>
              <w:t xml:space="preserve">$2.37</w:t>
            </w:r>
          </w:p>
        </w:tc>
        <w:tc>
          <w:tcPr/>
          <w:p>
            <w:pPr>
              <w:pStyle w:val="Compact"/>
            </w:pPr>
            <w:r>
              <w:t xml:space="preserve">Important benchmark for management’s second-half commentary</w:t>
            </w:r>
          </w:p>
        </w:tc>
      </w:tr>
      <w:tr>
        <w:tc>
          <w:tcPr/>
          <w:p>
            <w:pPr>
              <w:pStyle w:val="Compact"/>
            </w:pPr>
            <w:r>
              <w:t xml:space="preserve">FY2026 adjusted EPS consensus</w:t>
            </w:r>
          </w:p>
        </w:tc>
        <w:tc>
          <w:tcPr/>
          <w:p>
            <w:pPr>
              <w:pStyle w:val="Compact"/>
              <w:jc w:val="right"/>
            </w:pPr>
            <w:r>
              <w:t xml:space="preserve">~$10.00</w:t>
            </w:r>
          </w:p>
        </w:tc>
        <w:tc>
          <w:tcPr/>
          <w:p>
            <w:pPr>
              <w:pStyle w:val="Compact"/>
              <w:jc w:val="right"/>
            </w:pPr>
            <w:r>
              <w:t xml:space="preserve">$9.53</w:t>
            </w:r>
          </w:p>
        </w:tc>
        <w:tc>
          <w:tcPr/>
          <w:p>
            <w:pPr>
              <w:pStyle w:val="Compact"/>
            </w:pPr>
            <w:r>
              <w:t xml:space="preserve">Implies approximately 5% growth</w:t>
            </w:r>
          </w:p>
        </w:tc>
      </w:tr>
    </w:tbl>
    <w:p>
      <w:pPr>
        <w:pStyle w:val="BodyText"/>
      </w:pPr>
      <w:r>
        <w:t xml:space="preserve">Consensus sources differ slightly, with estimates clustering around</w:t>
      </w:r>
      <w:r>
        <w:t xml:space="preserve"> </w:t>
      </w:r>
      <m:oMath>
        <m:r>
          <m:t>2.46</m:t>
        </m:r>
        <m:r>
          <m:rPr>
            <m:sty m:val="p"/>
          </m:rPr>
          <m:t>–</m:t>
        </m:r>
      </m:oMath>
      <w:r>
        <w:t xml:space="preserve">2.47 of Q2 adjusted EPS. (</w:t>
      </w:r>
      <w:hyperlink r:id="rId9">
        <w:r>
          <w:rPr>
            <w:rStyle w:val="Hyperlink"/>
          </w:rPr>
          <w:t xml:space="preserve">marketbeat.com</w:t>
        </w:r>
      </w:hyperlink>
      <w:r>
        <w:t xml:space="preserve">)</w:t>
      </w:r>
    </w:p>
    <w:bookmarkEnd w:id="11"/>
    <w:bookmarkStart w:id="17" w:name="the-five-issues-that-matter-most"/>
    <w:p>
      <w:pPr>
        <w:pStyle w:val="Heading2"/>
      </w:pPr>
      <w:r>
        <w:t xml:space="preserve">The five issues that matter most</w:t>
      </w:r>
    </w:p>
    <w:bookmarkStart w:id="12" w:name="Xcec74a112730e71a6b8f746ddbd2f9f4ed268b9"/>
    <w:p>
      <w:pPr>
        <w:pStyle w:val="Heading3"/>
      </w:pPr>
      <w:r>
        <w:t xml:space="preserve">1. How severe was the label-materials destocking?</w:t>
      </w:r>
    </w:p>
    <w:p>
      <w:pPr>
        <w:pStyle w:val="FirstParagraph"/>
      </w:pPr>
      <w:r>
        <w:t xml:space="preserve">Q1 benefited from customers purchasing ahead of announced price increases. Management estimated this added roughly</w:t>
      </w:r>
      <w:r>
        <w:t xml:space="preserve"> </w:t>
      </w:r>
      <m:oMath>
        <m:r>
          <m:t>0.05</m:t>
        </m:r>
        <m:r>
          <m:t>t</m:t>
        </m:r>
        <m:r>
          <m:t>o</m:t>
        </m:r>
        <m:r>
          <m:t>Q</m:t>
        </m:r>
        <m:r>
          <m:t>1</m:t>
        </m:r>
        <m:r>
          <m:t>E</m:t>
        </m:r>
        <m:r>
          <m:t>P</m:t>
        </m:r>
        <m:r>
          <m:t>S</m:t>
        </m:r>
        <m:r>
          <m:rPr>
            <m:sty m:val="p"/>
          </m:rPr>
          <m:t>*</m:t>
        </m:r>
        <m:r>
          <m:rPr>
            <m:sty m:val="p"/>
          </m:rPr>
          <m:t>*</m:t>
        </m:r>
        <m:r>
          <m:rPr>
            <m:sty m:val="p"/>
          </m:rPr>
          <m:t>,</m:t>
        </m:r>
        <m:r>
          <m:t>b</m:t>
        </m:r>
        <m:r>
          <m:t>u</m:t>
        </m:r>
        <m:r>
          <m:t>t</m:t>
        </m:r>
        <m:r>
          <m:t>e</m:t>
        </m:r>
        <m:r>
          <m:t>x</m:t>
        </m:r>
        <m:r>
          <m:t>p</m:t>
        </m:r>
        <m:r>
          <m:t>l</m:t>
        </m:r>
        <m:r>
          <m:t>a</m:t>
        </m:r>
        <m:r>
          <m:t>i</m:t>
        </m:r>
        <m:r>
          <m:t>n</m:t>
        </m:r>
        <m:r>
          <m:t>e</m:t>
        </m:r>
        <m:r>
          <m:t>d</m:t>
        </m:r>
        <m:r>
          <m:t>t</m:t>
        </m:r>
        <m:r>
          <m:t>h</m:t>
        </m:r>
        <m:r>
          <m:t>a</m:t>
        </m:r>
        <m:r>
          <m:t>t</m:t>
        </m:r>
        <m:r>
          <m:t>t</m:t>
        </m:r>
        <m:r>
          <m:t>h</m:t>
        </m:r>
        <m:r>
          <m:t>e</m:t>
        </m:r>
        <m:r>
          <m:t>u</m:t>
        </m:r>
        <m:r>
          <m:t>n</m:t>
        </m:r>
        <m:r>
          <m:t>w</m:t>
        </m:r>
        <m:r>
          <m:t>i</m:t>
        </m:r>
        <m:r>
          <m:t>n</m:t>
        </m:r>
        <m:r>
          <m:t>d</m:t>
        </m:r>
        <m:r>
          <m:t>c</m:t>
        </m:r>
        <m:r>
          <m:t>r</m:t>
        </m:r>
        <m:r>
          <m:t>e</m:t>
        </m:r>
        <m:r>
          <m:t>a</m:t>
        </m:r>
        <m:r>
          <m:t>t</m:t>
        </m:r>
        <m:r>
          <m:t>e</m:t>
        </m:r>
        <m:r>
          <m:t>s</m:t>
        </m:r>
        <m:r>
          <m:t>a</m:t>
        </m:r>
        <m:r>
          <m:t>n</m:t>
        </m:r>
        <m:r>
          <m:t>a</m:t>
        </m:r>
        <m:r>
          <m:t>p</m:t>
        </m:r>
        <m:r>
          <m:t>p</m:t>
        </m:r>
        <m:r>
          <m:t>r</m:t>
        </m:r>
        <m:r>
          <m:t>o</m:t>
        </m:r>
        <m:r>
          <m:t>x</m:t>
        </m:r>
        <m:r>
          <m:t>i</m:t>
        </m:r>
        <m:r>
          <m:t>m</m:t>
        </m:r>
        <m:r>
          <m:t>a</m:t>
        </m:r>
        <m:r>
          <m:t>t</m:t>
        </m:r>
        <m:r>
          <m:t>e</m:t>
        </m:r>
        <m:r>
          <m:t>l</m:t>
        </m:r>
        <m:r>
          <m:t>y</m:t>
        </m:r>
        <m:r>
          <m:rPr>
            <m:sty m:val="p"/>
          </m:rPr>
          <m:t>*</m:t>
        </m:r>
        <m:r>
          <m:rPr>
            <m:sty m:val="p"/>
          </m:rPr>
          <m:t>*</m:t>
        </m:r>
      </m:oMath>
      <w:r>
        <w:rPr>
          <w:b/>
          <w:bCs/>
        </w:rPr>
        <w:t xml:space="preserve">0.10 sequential swing</w:t>
      </w:r>
      <w:r>
        <w:t xml:space="preserve"> </w:t>
      </w:r>
      <w:r>
        <w:t xml:space="preserve">between Q1 and Q2.</w:t>
      </w:r>
    </w:p>
    <w:p>
      <w:pPr>
        <w:pStyle w:val="BodyText"/>
      </w:pPr>
      <w:r>
        <w:t xml:space="preserve">At the April call, Avery expected the elevated ordering to persist into April and largely unwind during the second half of Q2. The critical questions are:</w:t>
      </w:r>
    </w:p>
    <w:p>
      <w:pPr>
        <w:pStyle w:val="Compact"/>
        <w:numPr>
          <w:ilvl w:val="0"/>
          <w:numId w:val="1002"/>
        </w:numPr>
      </w:pPr>
      <w:r>
        <w:t xml:space="preserve">Did destocking remain confined to the expected period?</w:t>
      </w:r>
    </w:p>
    <w:p>
      <w:pPr>
        <w:pStyle w:val="Compact"/>
        <w:numPr>
          <w:ilvl w:val="0"/>
          <w:numId w:val="1002"/>
        </w:numPr>
      </w:pPr>
      <w:r>
        <w:t xml:space="preserve">Were exit rates improving by late June?</w:t>
      </w:r>
    </w:p>
    <w:p>
      <w:pPr>
        <w:pStyle w:val="Compact"/>
        <w:numPr>
          <w:ilvl w:val="0"/>
          <w:numId w:val="1002"/>
        </w:numPr>
      </w:pPr>
      <w:r>
        <w:t xml:space="preserve">Has inventory normalization spilled into Q3?</w:t>
      </w:r>
    </w:p>
    <w:p>
      <w:pPr>
        <w:pStyle w:val="FirstParagraph"/>
      </w:pPr>
      <w:r>
        <w:t xml:space="preserve">A result within guidance despite heavier-than-expected destocking would indicate that productivity and pricing are working. Conversely, a weak quarter accompanied by continued July destocking would put management’s sequential-growth thesis at risk.</w:t>
      </w:r>
    </w:p>
    <w:bookmarkEnd w:id="12"/>
    <w:bookmarkStart w:id="13" w:name="X0fbff698d4eec90a854422938a0cdbec811105d"/>
    <w:p>
      <w:pPr>
        <w:pStyle w:val="Heading3"/>
      </w:pPr>
      <w:r>
        <w:t xml:space="preserve">2. Price/cost execution under renewed inflation</w:t>
      </w:r>
    </w:p>
    <w:p>
      <w:pPr>
        <w:pStyle w:val="FirstParagraph"/>
      </w:pPr>
      <w:r>
        <w:t xml:space="preserve">Raw-material conditions changed quickly during Q1. Avery moved from year-over-year deflation early in the period to inflation by March and forecast</w:t>
      </w:r>
      <w:r>
        <w:t xml:space="preserve"> </w:t>
      </w:r>
      <w:r>
        <w:rPr>
          <w:b/>
          <w:bCs/>
        </w:rPr>
        <w:t xml:space="preserve">high-single-digit sequential raw-material inflation in Q2</w:t>
      </w:r>
      <w:r>
        <w:t xml:space="preserve">.</w:t>
      </w:r>
    </w:p>
    <w:p>
      <w:pPr>
        <w:pStyle w:val="BodyText"/>
      </w:pPr>
      <w:r>
        <w:t xml:space="preserve">Management responded with price increases across regions, including second-round actions in some markets. It expected a low- to mid-single-digit sequential pricing benefit and described the Q2 price/cost lag as relatively small.</w:t>
      </w:r>
    </w:p>
    <w:p>
      <w:pPr>
        <w:pStyle w:val="BodyText"/>
      </w:pPr>
      <w:r>
        <w:t xml:space="preserve">Investors should focus on:</w:t>
      </w:r>
    </w:p>
    <w:p>
      <w:pPr>
        <w:pStyle w:val="Compact"/>
        <w:numPr>
          <w:ilvl w:val="0"/>
          <w:numId w:val="1003"/>
        </w:numPr>
      </w:pPr>
      <w:r>
        <w:t xml:space="preserve">Whether Q2 price/cost was neutral, slightly negative, or worse;</w:t>
      </w:r>
    </w:p>
    <w:p>
      <w:pPr>
        <w:pStyle w:val="Compact"/>
        <w:numPr>
          <w:ilvl w:val="0"/>
          <w:numId w:val="1003"/>
        </w:numPr>
      </w:pPr>
      <w:r>
        <w:t xml:space="preserve">The amount of additional inflation carrying into Q3;</w:t>
      </w:r>
    </w:p>
    <w:p>
      <w:pPr>
        <w:pStyle w:val="Compact"/>
        <w:numPr>
          <w:ilvl w:val="0"/>
          <w:numId w:val="1003"/>
        </w:numPr>
      </w:pPr>
      <w:r>
        <w:t xml:space="preserve">Whether further price increases are necessary;</w:t>
      </w:r>
    </w:p>
    <w:p>
      <w:pPr>
        <w:pStyle w:val="Compact"/>
        <w:numPr>
          <w:ilvl w:val="0"/>
          <w:numId w:val="1003"/>
        </w:numPr>
      </w:pPr>
      <w:r>
        <w:t xml:space="preserve">Any evidence that pricing is beginning to hurt customer volumes; and</w:t>
      </w:r>
    </w:p>
    <w:p>
      <w:pPr>
        <w:pStyle w:val="Compact"/>
        <w:numPr>
          <w:ilvl w:val="0"/>
          <w:numId w:val="1003"/>
        </w:numPr>
      </w:pPr>
      <w:r>
        <w:t xml:space="preserve">Whether material reengineering continues to provide an offset.</w:t>
      </w:r>
    </w:p>
    <w:p>
      <w:pPr>
        <w:pStyle w:val="FirstParagraph"/>
      </w:pPr>
      <w:r>
        <w:t xml:space="preserve">Avery has historically been effective at recovering inflation, so a significant or widening price/cost gap would be a notable disappointment.</w:t>
      </w:r>
    </w:p>
    <w:bookmarkEnd w:id="13"/>
    <w:bookmarkStart w:id="14" w:name="X41cb21f828032d5f59571c80e2ca5d2055acb8c"/>
    <w:p>
      <w:pPr>
        <w:pStyle w:val="Heading3"/>
      </w:pPr>
      <w:r>
        <w:t xml:space="preserve">3. Materials Group: base-label resilience versus high-value recovery</w:t>
      </w:r>
    </w:p>
    <w:p>
      <w:pPr>
        <w:pStyle w:val="FirstParagraph"/>
      </w:pPr>
      <w:r>
        <w:t xml:space="preserve">Materials Group was the strongest part of Q1:</w:t>
      </w:r>
    </w:p>
    <w:p>
      <w:pPr>
        <w:pStyle w:val="Compact"/>
        <w:numPr>
          <w:ilvl w:val="0"/>
          <w:numId w:val="1004"/>
        </w:numPr>
      </w:pPr>
      <w:r>
        <w:t xml:space="preserve">Organic sales increased approximately</w:t>
      </w:r>
      <w:r>
        <w:t xml:space="preserve"> </w:t>
      </w:r>
      <w:r>
        <w:rPr>
          <w:b/>
          <w:bCs/>
        </w:rPr>
        <w:t xml:space="preserve">2%</w:t>
      </w:r>
      <w:r>
        <w:t xml:space="preserve">;</w:t>
      </w:r>
    </w:p>
    <w:p>
      <w:pPr>
        <w:pStyle w:val="Compact"/>
        <w:numPr>
          <w:ilvl w:val="0"/>
          <w:numId w:val="1004"/>
        </w:numPr>
      </w:pPr>
      <w:r>
        <w:t xml:space="preserve">Base categories grew mid-single digits;</w:t>
      </w:r>
    </w:p>
    <w:p>
      <w:pPr>
        <w:pStyle w:val="Compact"/>
        <w:numPr>
          <w:ilvl w:val="0"/>
          <w:numId w:val="1004"/>
        </w:numPr>
      </w:pPr>
      <w:r>
        <w:t xml:space="preserve">High-value categories declined low single digits;</w:t>
      </w:r>
    </w:p>
    <w:p>
      <w:pPr>
        <w:pStyle w:val="Compact"/>
        <w:numPr>
          <w:ilvl w:val="0"/>
          <w:numId w:val="1004"/>
        </w:numPr>
      </w:pPr>
      <w:r>
        <w:t xml:space="preserve">Adjusted EBITDA rose 12%; and</w:t>
      </w:r>
    </w:p>
    <w:p>
      <w:pPr>
        <w:pStyle w:val="Compact"/>
        <w:numPr>
          <w:ilvl w:val="0"/>
          <w:numId w:val="1004"/>
        </w:numPr>
      </w:pPr>
      <w:r>
        <w:t xml:space="preserve">Adjusted EBITDA margin improved 10 basis points to</w:t>
      </w:r>
      <w:r>
        <w:t xml:space="preserve"> </w:t>
      </w:r>
      <w:r>
        <w:rPr>
          <w:b/>
          <w:bCs/>
        </w:rPr>
        <w:t xml:space="preserve">17.8%</w:t>
      </w:r>
      <w:r>
        <w:t xml:space="preserve">.</w:t>
      </w:r>
    </w:p>
    <w:p>
      <w:pPr>
        <w:pStyle w:val="FirstParagraph"/>
      </w:pPr>
      <w:r>
        <w:t xml:space="preserve">The base-label result was helped by prebuying, however, while Graphics and Reflectives declined mid-single digits and Performance Materials declined low single digits. Management expected those high-value categories to return to growth as the year progressed.</w:t>
      </w:r>
    </w:p>
    <w:p>
      <w:pPr>
        <w:pStyle w:val="BodyText"/>
      </w:pPr>
      <w:r>
        <w:t xml:space="preserve">Q2 therefore needs to demonstrate more than headline Materials growth. The ideal composition would be:</w:t>
      </w:r>
    </w:p>
    <w:p>
      <w:pPr>
        <w:pStyle w:val="Compact"/>
        <w:numPr>
          <w:ilvl w:val="0"/>
          <w:numId w:val="1005"/>
        </w:numPr>
      </w:pPr>
      <w:r>
        <w:t xml:space="preserve">Controlled destocking in base labels;</w:t>
      </w:r>
    </w:p>
    <w:p>
      <w:pPr>
        <w:pStyle w:val="Compact"/>
        <w:numPr>
          <w:ilvl w:val="0"/>
          <w:numId w:val="1005"/>
        </w:numPr>
      </w:pPr>
      <w:r>
        <w:t xml:space="preserve">High-value categories returning to positive growth;</w:t>
      </w:r>
    </w:p>
    <w:p>
      <w:pPr>
        <w:pStyle w:val="Compact"/>
        <w:numPr>
          <w:ilvl w:val="0"/>
          <w:numId w:val="1005"/>
        </w:numPr>
      </w:pPr>
      <w:r>
        <w:t xml:space="preserve">Continued share gains; and</w:t>
      </w:r>
    </w:p>
    <w:p>
      <w:pPr>
        <w:pStyle w:val="Compact"/>
        <w:numPr>
          <w:ilvl w:val="0"/>
          <w:numId w:val="1005"/>
        </w:numPr>
      </w:pPr>
      <w:r>
        <w:t xml:space="preserve">EBITDA margin holding near last year’s</w:t>
      </w:r>
      <w:r>
        <w:t xml:space="preserve"> </w:t>
      </w:r>
      <w:r>
        <w:rPr>
          <w:b/>
          <w:bCs/>
        </w:rPr>
        <w:t xml:space="preserve">17.8%</w:t>
      </w:r>
      <w:r>
        <w:t xml:space="preserve">, despite inflation and unfavorable mix.</w:t>
      </w:r>
    </w:p>
    <w:p>
      <w:pPr>
        <w:pStyle w:val="FirstParagraph"/>
      </w:pPr>
      <w:r>
        <w:t xml:space="preserve">If Materials earnings hold up only because of pricing while underlying volumes weaken broadly, the quality of the result will be less encouraging.</w:t>
      </w:r>
    </w:p>
    <w:bookmarkEnd w:id="14"/>
    <w:bookmarkStart w:id="15" w:name="X6738676181fd602dd99e33c9395ed545aa92711"/>
    <w:p>
      <w:pPr>
        <w:pStyle w:val="Heading3"/>
      </w:pPr>
      <w:r>
        <w:t xml:space="preserve">4. Intelligent Labels: Q2 stabilization and evidence for the second-half ramp</w:t>
      </w:r>
    </w:p>
    <w:p>
      <w:pPr>
        <w:pStyle w:val="FirstParagraph"/>
      </w:pPr>
      <w:r>
        <w:t xml:space="preserve">Enterprise-wide Intelligent Labels generated approximately</w:t>
      </w:r>
      <w:r>
        <w:t xml:space="preserve"> </w:t>
      </w:r>
      <w:r>
        <w:rPr>
          <w:b/>
          <w:bCs/>
        </w:rPr>
        <w:t xml:space="preserve">$0.9 billion of sales in 2025</w:t>
      </w:r>
      <w:r>
        <w:t xml:space="preserve">, making it one of Avery’s central long-term growth platforms. But Q1 sales declined low single digits:</w:t>
      </w:r>
    </w:p>
    <w:p>
      <w:pPr>
        <w:pStyle w:val="Compact"/>
        <w:numPr>
          <w:ilvl w:val="0"/>
          <w:numId w:val="1006"/>
        </w:numPr>
      </w:pPr>
      <w:r>
        <w:t xml:space="preserve">Apparel and general retail grew low single digits;</w:t>
      </w:r>
    </w:p>
    <w:p>
      <w:pPr>
        <w:pStyle w:val="Compact"/>
        <w:numPr>
          <w:ilvl w:val="0"/>
          <w:numId w:val="1006"/>
        </w:numPr>
      </w:pPr>
      <w:r>
        <w:t xml:space="preserve">Food and logistics declined low double digits;</w:t>
      </w:r>
    </w:p>
    <w:p>
      <w:pPr>
        <w:pStyle w:val="Compact"/>
        <w:numPr>
          <w:ilvl w:val="0"/>
          <w:numId w:val="1006"/>
        </w:numPr>
      </w:pPr>
      <w:r>
        <w:t xml:space="preserve">Logistics was affected primarily by weak customer demand, with a smaller temporary impact from a chip transition.</w:t>
      </w:r>
    </w:p>
    <w:p>
      <w:pPr>
        <w:pStyle w:val="FirstParagraph"/>
      </w:pPr>
      <w:r>
        <w:t xml:space="preserve">Management continued to expect 2026 Intelligent Labels growth to exceed 2025, but that requires a substantially stronger second half. The main catalysts are:</w:t>
      </w:r>
    </w:p>
    <w:p>
      <w:pPr>
        <w:pStyle w:val="Compact"/>
        <w:numPr>
          <w:ilvl w:val="0"/>
          <w:numId w:val="1007"/>
        </w:numPr>
      </w:pPr>
      <w:r>
        <w:t xml:space="preserve">A rollout with the largest U.S. grocery retailer across bakery, meat and deli;</w:t>
      </w:r>
    </w:p>
    <w:p>
      <w:pPr>
        <w:pStyle w:val="Compact"/>
        <w:numPr>
          <w:ilvl w:val="0"/>
          <w:numId w:val="1007"/>
        </w:numPr>
      </w:pPr>
      <w:r>
        <w:t xml:space="preserve">Additional apparel programs;</w:t>
      </w:r>
    </w:p>
    <w:p>
      <w:pPr>
        <w:pStyle w:val="Compact"/>
        <w:numPr>
          <w:ilvl w:val="0"/>
          <w:numId w:val="1007"/>
        </w:numPr>
      </w:pPr>
      <w:r>
        <w:t xml:space="preserve">Easier tariff-affected comparisons;</w:t>
      </w:r>
    </w:p>
    <w:p>
      <w:pPr>
        <w:pStyle w:val="Compact"/>
        <w:numPr>
          <w:ilvl w:val="0"/>
          <w:numId w:val="1007"/>
        </w:numPr>
      </w:pPr>
      <w:r>
        <w:t xml:space="preserve">New logistics pilots; and</w:t>
      </w:r>
    </w:p>
    <w:p>
      <w:pPr>
        <w:pStyle w:val="Compact"/>
        <w:numPr>
          <w:ilvl w:val="0"/>
          <w:numId w:val="1007"/>
        </w:numPr>
      </w:pPr>
      <w:r>
        <w:t xml:space="preserve">Expanded use cases, including loss prevention and visibility.</w:t>
      </w:r>
    </w:p>
    <w:p>
      <w:pPr>
        <w:pStyle w:val="FirstParagraph"/>
      </w:pPr>
      <w:r>
        <w:t xml:space="preserve">The food rollout is particularly important. Management previously described its expected value over two years as equivalent to a</w:t>
      </w:r>
      <w:r>
        <w:t xml:space="preserve"> </w:t>
      </w:r>
      <w:r>
        <w:rPr>
          <w:b/>
          <w:bCs/>
        </w:rPr>
        <w:t xml:space="preserve">high-single-digit to low-double-digit percentage of 2025 Intelligent Labels revenue</w:t>
      </w:r>
      <w:r>
        <w:t xml:space="preserve">.</w:t>
      </w:r>
    </w:p>
    <w:p>
      <w:pPr>
        <w:pStyle w:val="BodyText"/>
      </w:pPr>
      <w:r>
        <w:t xml:space="preserve">Investors should look for concrete milestones rather than broad optimism:</w:t>
      </w:r>
    </w:p>
    <w:p>
      <w:pPr>
        <w:pStyle w:val="Compact"/>
        <w:numPr>
          <w:ilvl w:val="0"/>
          <w:numId w:val="1008"/>
        </w:numPr>
      </w:pPr>
      <w:r>
        <w:t xml:space="preserve">Has commercial production begun?</w:t>
      </w:r>
    </w:p>
    <w:p>
      <w:pPr>
        <w:pStyle w:val="Compact"/>
        <w:numPr>
          <w:ilvl w:val="0"/>
          <w:numId w:val="1008"/>
        </w:numPr>
      </w:pPr>
      <w:r>
        <w:t xml:space="preserve">Is the grocery rollout on schedule?</w:t>
      </w:r>
    </w:p>
    <w:p>
      <w:pPr>
        <w:pStyle w:val="Compact"/>
        <w:numPr>
          <w:ilvl w:val="0"/>
          <w:numId w:val="1008"/>
        </w:numPr>
      </w:pPr>
      <w:r>
        <w:t xml:space="preserve">When will revenue become material?</w:t>
      </w:r>
    </w:p>
    <w:p>
      <w:pPr>
        <w:pStyle w:val="Compact"/>
        <w:numPr>
          <w:ilvl w:val="0"/>
          <w:numId w:val="1008"/>
        </w:numPr>
      </w:pPr>
      <w:r>
        <w:t xml:space="preserve">Are apparel orders improving ahead of back-to-school and holiday?</w:t>
      </w:r>
    </w:p>
    <w:p>
      <w:pPr>
        <w:pStyle w:val="Compact"/>
        <w:numPr>
          <w:ilvl w:val="0"/>
          <w:numId w:val="1008"/>
        </w:numPr>
      </w:pPr>
      <w:r>
        <w:t xml:space="preserve">Has logistics demand stabilized?</w:t>
      </w:r>
    </w:p>
    <w:p>
      <w:pPr>
        <w:pStyle w:val="Compact"/>
        <w:numPr>
          <w:ilvl w:val="0"/>
          <w:numId w:val="1008"/>
        </w:numPr>
      </w:pPr>
      <w:r>
        <w:t xml:space="preserve">Will Intelligent Labels post positive growth in Q3?</w:t>
      </w:r>
    </w:p>
    <w:p>
      <w:pPr>
        <w:pStyle w:val="FirstParagraph"/>
      </w:pPr>
      <w:r>
        <w:t xml:space="preserve">A vague or delayed update would make the full-year Intelligent Labels growth objective harder to underwrite.</w:t>
      </w:r>
    </w:p>
    <w:bookmarkEnd w:id="15"/>
    <w:bookmarkStart w:id="16" w:name="X46066fdb33bc1450055b25000b1098dc4097d64"/>
    <w:p>
      <w:pPr>
        <w:pStyle w:val="Heading3"/>
      </w:pPr>
      <w:r>
        <w:t xml:space="preserve">5. Solutions Group margin repair</w:t>
      </w:r>
    </w:p>
    <w:p>
      <w:pPr>
        <w:pStyle w:val="FirstParagraph"/>
      </w:pPr>
      <w:r>
        <w:t xml:space="preserve">Solutions Group was the weak spot in Q1:</w:t>
      </w:r>
    </w:p>
    <w:p>
      <w:pPr>
        <w:pStyle w:val="Compact"/>
        <w:numPr>
          <w:ilvl w:val="0"/>
          <w:numId w:val="1009"/>
        </w:numPr>
      </w:pPr>
      <w:r>
        <w:t xml:space="preserve">Organic sales declined</w:t>
      </w:r>
      <w:r>
        <w:t xml:space="preserve"> </w:t>
      </w:r>
      <w:r>
        <w:rPr>
          <w:b/>
          <w:bCs/>
        </w:rPr>
        <w:t xml:space="preserve">0.9%</w:t>
      </w:r>
      <w:r>
        <w:t xml:space="preserve">;</w:t>
      </w:r>
    </w:p>
    <w:p>
      <w:pPr>
        <w:pStyle w:val="Compact"/>
        <w:numPr>
          <w:ilvl w:val="0"/>
          <w:numId w:val="1009"/>
        </w:numPr>
      </w:pPr>
      <w:r>
        <w:t xml:space="preserve">Base categories declined mid-single digits;</w:t>
      </w:r>
    </w:p>
    <w:p>
      <w:pPr>
        <w:pStyle w:val="Compact"/>
        <w:numPr>
          <w:ilvl w:val="0"/>
          <w:numId w:val="1009"/>
        </w:numPr>
      </w:pPr>
      <w:r>
        <w:t xml:space="preserve">Adjusted operating margin fell 120 basis points to</w:t>
      </w:r>
      <w:r>
        <w:t xml:space="preserve"> </w:t>
      </w:r>
      <w:r>
        <w:rPr>
          <w:b/>
          <w:bCs/>
        </w:rPr>
        <w:t xml:space="preserve">9.0%</w:t>
      </w:r>
      <w:r>
        <w:t xml:space="preserve">;</w:t>
      </w:r>
    </w:p>
    <w:p>
      <w:pPr>
        <w:pStyle w:val="Compact"/>
        <w:numPr>
          <w:ilvl w:val="0"/>
          <w:numId w:val="1009"/>
        </w:numPr>
      </w:pPr>
      <w:r>
        <w:t xml:space="preserve">Adjusted EBITDA margin declined 80 basis points to</w:t>
      </w:r>
      <w:r>
        <w:t xml:space="preserve"> </w:t>
      </w:r>
      <w:r>
        <w:rPr>
          <w:b/>
          <w:bCs/>
        </w:rPr>
        <w:t xml:space="preserve">16.4%</w:t>
      </w:r>
      <w:r>
        <w:t xml:space="preserve">.</w:t>
      </w:r>
    </w:p>
    <w:p>
      <w:pPr>
        <w:pStyle w:val="FirstParagraph"/>
      </w:pPr>
      <w:r>
        <w:t xml:space="preserve">Productivity and favorable price/cost were insufficient to offset employee costs, lower base volumes, and growth investments. Q2 comparisons are somewhat easier in apparel, but the segment still needs better volume and mix to improve profitability.</w:t>
      </w:r>
    </w:p>
    <w:p>
      <w:pPr>
        <w:pStyle w:val="BodyText"/>
      </w:pPr>
      <w:r>
        <w:t xml:space="preserve">A constructive report would show Solutions EBITDA margin stabilizing or improving from Q1 while Avery continues funding future growth. Another sizable year-over-year decline—especially without stronger Intelligent Labels growth—would raise questions about the timing of returns on those investments.</w:t>
      </w:r>
    </w:p>
    <w:bookmarkEnd w:id="16"/>
    <w:bookmarkEnd w:id="17"/>
    <w:bookmarkStart w:id="19" w:name="X76012e95b4fce7ab2ee39fbae4a6eda82e8ef45"/>
    <w:p>
      <w:pPr>
        <w:pStyle w:val="Heading2"/>
      </w:pPr>
      <w:r>
        <w:t xml:space="preserve">Guidance and the second-half earnings bridge</w:t>
      </w:r>
    </w:p>
    <w:p>
      <w:pPr>
        <w:pStyle w:val="FirstParagraph"/>
      </w:pPr>
      <w:r>
        <w:t xml:space="preserve">Avery has not provided conventional full-year EPS guidance, but management laid out several factors supporting sequential earnings improvement:</w:t>
      </w:r>
    </w:p>
    <w:p>
      <w:pPr>
        <w:pStyle w:val="Compact"/>
        <w:numPr>
          <w:ilvl w:val="0"/>
          <w:numId w:val="1010"/>
        </w:numPr>
      </w:pPr>
      <w:r>
        <w:t xml:space="preserve">More than</w:t>
      </w:r>
      <w:r>
        <w:t xml:space="preserve"> </w:t>
      </w:r>
      <w:r>
        <w:rPr>
          <w:b/>
          <w:bCs/>
        </w:rPr>
        <w:t xml:space="preserve">$55 million</w:t>
      </w:r>
      <w:r>
        <w:t xml:space="preserve"> </w:t>
      </w:r>
      <w:r>
        <w:t xml:space="preserve">of incremental restructuring savings;</w:t>
      </w:r>
    </w:p>
    <w:p>
      <w:pPr>
        <w:pStyle w:val="Compact"/>
        <w:numPr>
          <w:ilvl w:val="0"/>
          <w:numId w:val="1010"/>
        </w:numPr>
      </w:pPr>
      <w:r>
        <w:t xml:space="preserve">The majority of those savings weighted toward the second half;</w:t>
      </w:r>
    </w:p>
    <w:p>
      <w:pPr>
        <w:pStyle w:val="Compact"/>
        <w:numPr>
          <w:ilvl w:val="0"/>
          <w:numId w:val="1010"/>
        </w:numPr>
      </w:pPr>
      <w:r>
        <w:t xml:space="preserve">Recovery in high-value Materials categories;</w:t>
      </w:r>
    </w:p>
    <w:p>
      <w:pPr>
        <w:pStyle w:val="Compact"/>
        <w:numPr>
          <w:ilvl w:val="0"/>
          <w:numId w:val="1010"/>
        </w:numPr>
      </w:pPr>
      <w:r>
        <w:t xml:space="preserve">A second-half acceleration in Intelligent Labels;</w:t>
      </w:r>
    </w:p>
    <w:p>
      <w:pPr>
        <w:pStyle w:val="Compact"/>
        <w:numPr>
          <w:ilvl w:val="0"/>
          <w:numId w:val="1010"/>
        </w:numPr>
      </w:pPr>
      <w:r>
        <w:t xml:space="preserve">Continued share-count reduction;</w:t>
      </w:r>
    </w:p>
    <w:p>
      <w:pPr>
        <w:pStyle w:val="Compact"/>
        <w:numPr>
          <w:ilvl w:val="0"/>
          <w:numId w:val="1010"/>
        </w:numPr>
      </w:pPr>
      <w:r>
        <w:t xml:space="preserve">Pricing catching up with raw-material inflation; and</w:t>
      </w:r>
    </w:p>
    <w:p>
      <w:pPr>
        <w:pStyle w:val="Compact"/>
        <w:numPr>
          <w:ilvl w:val="0"/>
          <w:numId w:val="1010"/>
        </w:numPr>
      </w:pPr>
      <w:r>
        <w:t xml:space="preserve">Approximately</w:t>
      </w:r>
      <w:r>
        <w:t xml:space="preserve"> </w:t>
      </w:r>
      <w:r>
        <w:rPr>
          <w:b/>
          <w:bCs/>
        </w:rPr>
        <w:t xml:space="preserve">$0.25 per share</w:t>
      </w:r>
      <w:r>
        <w:t xml:space="preserve"> </w:t>
      </w:r>
      <w:r>
        <w:t xml:space="preserve">of net benefit from currency and lower share count, partly offset by taxes and interest.</w:t>
      </w:r>
    </w:p>
    <w:p>
      <w:pPr>
        <w:pStyle w:val="FirstParagraph"/>
      </w:pPr>
      <w:r>
        <w:t xml:space="preserve">Offsets include the normalization of unusually low 2025 incentive compensation and continued growth investments.</w:t>
      </w:r>
    </w:p>
    <w:p>
      <w:pPr>
        <w:pStyle w:val="BodyText"/>
      </w:pPr>
      <w:r>
        <w:t xml:space="preserve">Current consensus calls for approximately</w:t>
      </w:r>
      <w:r>
        <w:t xml:space="preserve"> </w:t>
      </w:r>
      <w:r>
        <w:rPr>
          <w:b/>
          <w:bCs/>
        </w:rPr>
        <w:t xml:space="preserve">$10.00 of FY2026 adjusted EPS</w:t>
      </w:r>
      <w:r>
        <w:t xml:space="preserve">. Assuming Q2 lands near</w:t>
      </w:r>
      <w:r>
        <w:t xml:space="preserve"> </w:t>
      </w:r>
      <m:oMath>
        <m:r>
          <m:t>2.47</m:t>
        </m:r>
        <m:r>
          <m:rPr>
            <m:sty m:val="p"/>
          </m:rPr>
          <m:t>,</m:t>
        </m:r>
        <m:r>
          <m:t>t</m:t>
        </m:r>
        <m:r>
          <m:t>h</m:t>
        </m:r>
        <m:r>
          <m:t>a</m:t>
        </m:r>
        <m:r>
          <m:t>t</m:t>
        </m:r>
        <m:r>
          <m:t>r</m:t>
        </m:r>
        <m:r>
          <m:t>e</m:t>
        </m:r>
        <m:r>
          <m:t>q</m:t>
        </m:r>
        <m:r>
          <m:t>u</m:t>
        </m:r>
        <m:r>
          <m:t>i</m:t>
        </m:r>
        <m:r>
          <m:t>r</m:t>
        </m:r>
        <m:r>
          <m:t>e</m:t>
        </m:r>
        <m:r>
          <m:t>s</m:t>
        </m:r>
        <m:r>
          <m:t>r</m:t>
        </m:r>
        <m:r>
          <m:t>o</m:t>
        </m:r>
        <m:r>
          <m:t>u</m:t>
        </m:r>
        <m:r>
          <m:t>g</m:t>
        </m:r>
        <m:r>
          <m:t>h</m:t>
        </m:r>
        <m:r>
          <m:t>l</m:t>
        </m:r>
        <m:r>
          <m:t>y</m:t>
        </m:r>
        <m:r>
          <m:rPr>
            <m:sty m:val="p"/>
          </m:rPr>
          <m:t>*</m:t>
        </m:r>
        <m:r>
          <m:rPr>
            <m:sty m:val="p"/>
          </m:rPr>
          <m:t>*</m:t>
        </m:r>
      </m:oMath>
      <w:r>
        <w:t xml:space="preserve">5.06 across Q3 and Q4**, versus $4.84 in the comparable 2025 period. This is achievable if management’s expected second-half drivers materialize, but it leaves limited room for a delayed Intelligent Labels ramp or persistent volume weakness.</w:t>
      </w:r>
    </w:p>
    <w:bookmarkStart w:id="18" w:name="what-to-listen-for-in-updated-guidance"/>
    <w:p>
      <w:pPr>
        <w:pStyle w:val="Heading3"/>
      </w:pPr>
      <w:r>
        <w:t xml:space="preserve">What to listen for in updated guidance</w:t>
      </w:r>
    </w:p>
    <w:p>
      <w:pPr>
        <w:pStyle w:val="Compact"/>
        <w:numPr>
          <w:ilvl w:val="0"/>
          <w:numId w:val="1011"/>
        </w:numPr>
      </w:pPr>
      <w:r>
        <w:t xml:space="preserve">Is sequential EPS growth still expected in both Q3 and Q4?</w:t>
      </w:r>
    </w:p>
    <w:p>
      <w:pPr>
        <w:pStyle w:val="Compact"/>
        <w:numPr>
          <w:ilvl w:val="0"/>
          <w:numId w:val="1011"/>
        </w:numPr>
      </w:pPr>
      <w:r>
        <w:t xml:space="preserve">Does management remain comfortable with roughly $10 of full-year EPS?</w:t>
      </w:r>
    </w:p>
    <w:p>
      <w:pPr>
        <w:pStyle w:val="Compact"/>
        <w:numPr>
          <w:ilvl w:val="0"/>
          <w:numId w:val="1011"/>
        </w:numPr>
      </w:pPr>
      <w:r>
        <w:t xml:space="preserve">Have projected restructuring savings increased beyond $55 million?</w:t>
      </w:r>
    </w:p>
    <w:p>
      <w:pPr>
        <w:pStyle w:val="Compact"/>
        <w:numPr>
          <w:ilvl w:val="0"/>
          <w:numId w:val="1011"/>
        </w:numPr>
      </w:pPr>
      <w:r>
        <w:t xml:space="preserve">Is the roughly 100% adjusted free-cash-flow conversion target intact?</w:t>
      </w:r>
    </w:p>
    <w:p>
      <w:pPr>
        <w:pStyle w:val="Compact"/>
        <w:numPr>
          <w:ilvl w:val="0"/>
          <w:numId w:val="1011"/>
        </w:numPr>
      </w:pPr>
      <w:r>
        <w:t xml:space="preserve">Has the expected currency benefit changed?</w:t>
      </w:r>
    </w:p>
    <w:p>
      <w:pPr>
        <w:pStyle w:val="Compact"/>
        <w:numPr>
          <w:ilvl w:val="0"/>
          <w:numId w:val="1011"/>
        </w:numPr>
      </w:pPr>
      <w:r>
        <w:t xml:space="preserve">Are price increases fully offsetting inflation entering Q3?</w:t>
      </w:r>
    </w:p>
    <w:bookmarkEnd w:id="18"/>
    <w:bookmarkEnd w:id="19"/>
    <w:bookmarkStart w:id="20" w:name="cash-flow-and-capital-allocation"/>
    <w:p>
      <w:pPr>
        <w:pStyle w:val="Heading2"/>
      </w:pPr>
      <w:r>
        <w:t xml:space="preserve">Cash flow and capital allocation</w:t>
      </w:r>
    </w:p>
    <w:p>
      <w:pPr>
        <w:pStyle w:val="FirstParagraph"/>
      </w:pPr>
      <w:r>
        <w:t xml:space="preserve">Q1 adjusted free cash flow was unusually strong at</w:t>
      </w:r>
      <w:r>
        <w:t xml:space="preserve"> </w:t>
      </w:r>
      <w:r>
        <w:rPr>
          <w:b/>
          <w:bCs/>
        </w:rPr>
        <w:t xml:space="preserve">$104 million</w:t>
      </w:r>
      <w:r>
        <w:t xml:space="preserve">, versus negative $53 million in the prior-year quarter, largely because of better working capital. Avery retained a reasonably strong balance sheet with net debt at</w:t>
      </w:r>
      <w:r>
        <w:t xml:space="preserve"> </w:t>
      </w:r>
      <w:r>
        <w:rPr>
          <w:b/>
          <w:bCs/>
        </w:rPr>
        <w:t xml:space="preserve">2.4 times adjusted EBITDA</w:t>
      </w:r>
      <w:r>
        <w:t xml:space="preserve">.</w:t>
      </w:r>
    </w:p>
    <w:p>
      <w:pPr>
        <w:pStyle w:val="BodyText"/>
      </w:pPr>
      <w:r>
        <w:t xml:space="preserve">The company returned $133 million to shareholders in Q1, including $61 million of repurchases. Management also said April repurchase activity continued at a similar pace to March, although its return-based framework means the pace can vary with the share price.</w:t>
      </w:r>
    </w:p>
    <w:p>
      <w:pPr>
        <w:pStyle w:val="BodyText"/>
      </w:pPr>
      <w:r>
        <w:t xml:space="preserve">For Q2, investors should monitor:</w:t>
      </w:r>
    </w:p>
    <w:p>
      <w:pPr>
        <w:pStyle w:val="Compact"/>
        <w:numPr>
          <w:ilvl w:val="0"/>
          <w:numId w:val="1012"/>
        </w:numPr>
      </w:pPr>
      <w:r>
        <w:t xml:space="preserve">Year-to-date cash conversion;</w:t>
      </w:r>
    </w:p>
    <w:p>
      <w:pPr>
        <w:pStyle w:val="Compact"/>
        <w:numPr>
          <w:ilvl w:val="0"/>
          <w:numId w:val="1012"/>
        </w:numPr>
      </w:pPr>
      <w:r>
        <w:t xml:space="preserve">Working capital after the prebuy and destocking cycle;</w:t>
      </w:r>
    </w:p>
    <w:p>
      <w:pPr>
        <w:pStyle w:val="Compact"/>
        <w:numPr>
          <w:ilvl w:val="0"/>
          <w:numId w:val="1012"/>
        </w:numPr>
      </w:pPr>
      <w:r>
        <w:t xml:space="preserve">Progress against approximately $260 million of planned fixed and IT capital spending;</w:t>
      </w:r>
    </w:p>
    <w:p>
      <w:pPr>
        <w:pStyle w:val="Compact"/>
        <w:numPr>
          <w:ilvl w:val="0"/>
          <w:numId w:val="1012"/>
        </w:numPr>
      </w:pPr>
      <w:r>
        <w:t xml:space="preserve">Repurchase activity at the lower share price; and</w:t>
      </w:r>
    </w:p>
    <w:p>
      <w:pPr>
        <w:pStyle w:val="Compact"/>
        <w:numPr>
          <w:ilvl w:val="0"/>
          <w:numId w:val="1012"/>
        </w:numPr>
      </w:pPr>
      <w:r>
        <w:t xml:space="preserve">Any additional capital allocated to Intelligent Labels, Wiliot, or acquisitions.</w:t>
      </w:r>
    </w:p>
    <w:bookmarkEnd w:id="20"/>
    <w:bookmarkStart w:id="21" w:name="market-setup"/>
    <w:p>
      <w:pPr>
        <w:pStyle w:val="Heading2"/>
      </w:pPr>
      <w:r>
        <w:t xml:space="preserve">Market setup</w:t>
      </w:r>
    </w:p>
    <w:p>
      <w:pPr>
        <w:pStyle w:val="FirstParagraph"/>
      </w:pPr>
      <w:r>
        <w:t xml:space="preserve">AVY closed July 29 at</w:t>
      </w:r>
      <w:r>
        <w:t xml:space="preserve"> </w:t>
      </w:r>
      <w:r>
        <w:rPr>
          <w:b/>
          <w:bCs/>
        </w:rPr>
        <w:t xml:space="preserve">$166.42</w:t>
      </w:r>
      <w:r>
        <w:t xml:space="preserve">, roughly:</w:t>
      </w:r>
    </w:p>
    <w:p>
      <w:pPr>
        <w:pStyle w:val="Compact"/>
        <w:numPr>
          <w:ilvl w:val="0"/>
          <w:numId w:val="1013"/>
        </w:numPr>
      </w:pPr>
      <w:r>
        <w:rPr>
          <w:b/>
          <w:bCs/>
        </w:rPr>
        <w:t xml:space="preserve">9% below</w:t>
      </w:r>
      <w:r>
        <w:t xml:space="preserve"> </w:t>
      </w:r>
      <w:r>
        <w:t xml:space="preserve">its January 2 closing price;</w:t>
      </w:r>
    </w:p>
    <w:p>
      <w:pPr>
        <w:pStyle w:val="Compact"/>
        <w:numPr>
          <w:ilvl w:val="0"/>
          <w:numId w:val="1013"/>
        </w:numPr>
      </w:pPr>
      <w:r>
        <w:t xml:space="preserve">Essentially unchanged from the April 28 Q1 earnings date; and</w:t>
      </w:r>
    </w:p>
    <w:p>
      <w:pPr>
        <w:pStyle w:val="Compact"/>
        <w:numPr>
          <w:ilvl w:val="0"/>
          <w:numId w:val="1013"/>
        </w:numPr>
      </w:pPr>
      <w:r>
        <w:t xml:space="preserve">About</w:t>
      </w:r>
      <w:r>
        <w:t xml:space="preserve"> </w:t>
      </w:r>
      <w:r>
        <w:rPr>
          <w:b/>
          <w:bCs/>
        </w:rPr>
        <w:t xml:space="preserve">16.6 times</w:t>
      </w:r>
      <w:r>
        <w:t xml:space="preserve"> </w:t>
      </w:r>
      <w:r>
        <w:t xml:space="preserve">current FY2026 consensus EPS.</w:t>
      </w:r>
    </w:p>
    <w:p>
      <w:pPr>
        <w:pStyle w:val="FirstParagraph"/>
      </w:pPr>
      <w:r>
        <w:t xml:space="preserve">That valuation and share-price performance suggest expectations are not especially demanding. However, the market is already positioned for Q2 EPS near the midpoint of guidance. A routine EPS beat driven by taxes or share count may not be enough if underlying volumes, Solutions margins, or second-half commentary disappoint.</w:t>
      </w:r>
    </w:p>
    <w:bookmarkEnd w:id="21"/>
    <w:bookmarkStart w:id="25" w:name="earnings-scorecard"/>
    <w:p>
      <w:pPr>
        <w:pStyle w:val="Heading2"/>
      </w:pPr>
      <w:r>
        <w:t xml:space="preserve">Earnings scorecard</w:t>
      </w:r>
    </w:p>
    <w:bookmarkStart w:id="22" w:name="bullish-outcome"/>
    <w:p>
      <w:pPr>
        <w:pStyle w:val="Heading3"/>
      </w:pPr>
      <w:r>
        <w:t xml:space="preserve">Bullish outcome</w:t>
      </w:r>
    </w:p>
    <w:p>
      <w:pPr>
        <w:pStyle w:val="Compact"/>
        <w:numPr>
          <w:ilvl w:val="0"/>
          <w:numId w:val="1014"/>
        </w:numPr>
      </w:pPr>
      <w:r>
        <w:t xml:space="preserve">Adjusted EPS of</w:t>
      </w:r>
      <w:r>
        <w:t xml:space="preserve"> </w:t>
      </w:r>
      <w:r>
        <w:rPr>
          <w:b/>
          <w:bCs/>
        </w:rPr>
        <w:t xml:space="preserve">$2.50 or better</w:t>
      </w:r>
      <w:r>
        <w:t xml:space="preserve">;</w:t>
      </w:r>
    </w:p>
    <w:p>
      <w:pPr>
        <w:pStyle w:val="Compact"/>
        <w:numPr>
          <w:ilvl w:val="0"/>
          <w:numId w:val="1014"/>
        </w:numPr>
      </w:pPr>
      <w:r>
        <w:t xml:space="preserve">Revenue around or above $2.30 billion;</w:t>
      </w:r>
    </w:p>
    <w:p>
      <w:pPr>
        <w:pStyle w:val="Compact"/>
        <w:numPr>
          <w:ilvl w:val="0"/>
          <w:numId w:val="1014"/>
        </w:numPr>
      </w:pPr>
      <w:r>
        <w:t xml:space="preserve">Organic growth at the upper end of the 0%–2% range;</w:t>
      </w:r>
    </w:p>
    <w:p>
      <w:pPr>
        <w:pStyle w:val="Compact"/>
        <w:numPr>
          <w:ilvl w:val="0"/>
          <w:numId w:val="1014"/>
        </w:numPr>
      </w:pPr>
      <w:r>
        <w:t xml:space="preserve">Destocking completed during Q2;</w:t>
      </w:r>
    </w:p>
    <w:p>
      <w:pPr>
        <w:pStyle w:val="Compact"/>
        <w:numPr>
          <w:ilvl w:val="0"/>
          <w:numId w:val="1014"/>
        </w:numPr>
      </w:pPr>
      <w:r>
        <w:t xml:space="preserve">Price/cost near neutral with no widening Q3 gap;</w:t>
      </w:r>
    </w:p>
    <w:p>
      <w:pPr>
        <w:pStyle w:val="Compact"/>
        <w:numPr>
          <w:ilvl w:val="0"/>
          <w:numId w:val="1014"/>
        </w:numPr>
      </w:pPr>
      <w:r>
        <w:t xml:space="preserve">High-value Materials categories return to growth;</w:t>
      </w:r>
    </w:p>
    <w:p>
      <w:pPr>
        <w:pStyle w:val="Compact"/>
        <w:numPr>
          <w:ilvl w:val="0"/>
          <w:numId w:val="1014"/>
        </w:numPr>
      </w:pPr>
      <w:r>
        <w:t xml:space="preserve">Intelligent Labels stabilize and the grocery rollout remains firmly on schedule;</w:t>
      </w:r>
    </w:p>
    <w:p>
      <w:pPr>
        <w:pStyle w:val="Compact"/>
        <w:numPr>
          <w:ilvl w:val="0"/>
          <w:numId w:val="1014"/>
        </w:numPr>
      </w:pPr>
      <w:r>
        <w:t xml:space="preserve">Solutions margins improve sequentially; and</w:t>
      </w:r>
    </w:p>
    <w:p>
      <w:pPr>
        <w:pStyle w:val="Compact"/>
        <w:numPr>
          <w:ilvl w:val="0"/>
          <w:numId w:val="1014"/>
        </w:numPr>
      </w:pPr>
      <w:r>
        <w:t xml:space="preserve">Management reinforces a credible path to approximately $10 or more of FY2026 EPS.</w:t>
      </w:r>
    </w:p>
    <w:bookmarkEnd w:id="22"/>
    <w:bookmarkStart w:id="23" w:name="in-line-outcome"/>
    <w:p>
      <w:pPr>
        <w:pStyle w:val="Heading3"/>
      </w:pPr>
      <w:r>
        <w:t xml:space="preserve">In-line outcome</w:t>
      </w:r>
    </w:p>
    <w:p>
      <w:pPr>
        <w:pStyle w:val="Compact"/>
        <w:numPr>
          <w:ilvl w:val="0"/>
          <w:numId w:val="1015"/>
        </w:numPr>
      </w:pPr>
      <w:r>
        <w:t xml:space="preserve">EPS around</w:t>
      </w:r>
      <w:r>
        <w:t xml:space="preserve"> </w:t>
      </w:r>
      <m:oMath>
        <m:r>
          <m:t>2.46</m:t>
        </m:r>
        <m:r>
          <m:rPr>
            <m:sty m:val="p"/>
          </m:rPr>
          <m:t>–</m:t>
        </m:r>
      </m:oMath>
      <w:r>
        <w:rPr>
          <w:b/>
          <w:bCs/>
        </w:rPr>
        <w:t xml:space="preserve">2.49</w:t>
      </w:r>
      <w:r>
        <w:t xml:space="preserve">;</w:t>
      </w:r>
    </w:p>
    <w:p>
      <w:pPr>
        <w:pStyle w:val="Compact"/>
        <w:numPr>
          <w:ilvl w:val="0"/>
          <w:numId w:val="1015"/>
        </w:numPr>
      </w:pPr>
      <w:r>
        <w:t xml:space="preserve">Revenue close to $2.30 billion;</w:t>
      </w:r>
    </w:p>
    <w:p>
      <w:pPr>
        <w:pStyle w:val="Compact"/>
        <w:numPr>
          <w:ilvl w:val="0"/>
          <w:numId w:val="1015"/>
        </w:numPr>
      </w:pPr>
      <w:r>
        <w:t xml:space="preserve">Organic growth around 1%;</w:t>
      </w:r>
    </w:p>
    <w:p>
      <w:pPr>
        <w:pStyle w:val="Compact"/>
        <w:numPr>
          <w:ilvl w:val="0"/>
          <w:numId w:val="1015"/>
        </w:numPr>
      </w:pPr>
      <w:r>
        <w:t xml:space="preserve">Expected destocking and modest price/cost lag;</w:t>
      </w:r>
    </w:p>
    <w:p>
      <w:pPr>
        <w:pStyle w:val="Compact"/>
        <w:numPr>
          <w:ilvl w:val="0"/>
          <w:numId w:val="1015"/>
        </w:numPr>
      </w:pPr>
      <w:r>
        <w:t xml:space="preserve">Intelligent Labels still soft but management maintains the second-half ramp;</w:t>
      </w:r>
    </w:p>
    <w:p>
      <w:pPr>
        <w:pStyle w:val="Compact"/>
        <w:numPr>
          <w:ilvl w:val="0"/>
          <w:numId w:val="1015"/>
        </w:numPr>
      </w:pPr>
      <w:r>
        <w:t xml:space="preserve">No major change to restructuring, cash-flow, or sequential-growth expectations.</w:t>
      </w:r>
    </w:p>
    <w:bookmarkEnd w:id="23"/>
    <w:bookmarkStart w:id="24" w:name="bearish-outcome"/>
    <w:p>
      <w:pPr>
        <w:pStyle w:val="Heading3"/>
      </w:pPr>
      <w:r>
        <w:t xml:space="preserve">Bearish outcome</w:t>
      </w:r>
    </w:p>
    <w:p>
      <w:pPr>
        <w:pStyle w:val="Compact"/>
        <w:numPr>
          <w:ilvl w:val="0"/>
          <w:numId w:val="1016"/>
        </w:numPr>
      </w:pPr>
      <w:r>
        <w:t xml:space="preserve">Adjusted EPS below</w:t>
      </w:r>
      <w:r>
        <w:t xml:space="preserve"> </w:t>
      </w:r>
      <w:r>
        <w:rPr>
          <w:b/>
          <w:bCs/>
        </w:rPr>
        <w:t xml:space="preserve">$2.43</w:t>
      </w:r>
      <w:r>
        <w:t xml:space="preserve">;</w:t>
      </w:r>
    </w:p>
    <w:p>
      <w:pPr>
        <w:pStyle w:val="Compact"/>
        <w:numPr>
          <w:ilvl w:val="0"/>
          <w:numId w:val="1016"/>
        </w:numPr>
      </w:pPr>
      <w:r>
        <w:t xml:space="preserve">Organic sales below zero;</w:t>
      </w:r>
    </w:p>
    <w:p>
      <w:pPr>
        <w:pStyle w:val="Compact"/>
        <w:numPr>
          <w:ilvl w:val="0"/>
          <w:numId w:val="1016"/>
        </w:numPr>
      </w:pPr>
      <w:r>
        <w:t xml:space="preserve">Destocking extending into Q3;</w:t>
      </w:r>
    </w:p>
    <w:p>
      <w:pPr>
        <w:pStyle w:val="Compact"/>
        <w:numPr>
          <w:ilvl w:val="0"/>
          <w:numId w:val="1016"/>
        </w:numPr>
      </w:pPr>
      <w:r>
        <w:t xml:space="preserve">Meaningful price/cost deterioration;</w:t>
      </w:r>
    </w:p>
    <w:p>
      <w:pPr>
        <w:pStyle w:val="Compact"/>
        <w:numPr>
          <w:ilvl w:val="0"/>
          <w:numId w:val="1016"/>
        </w:numPr>
      </w:pPr>
      <w:r>
        <w:t xml:space="preserve">Continued contraction in high-value Materials categories;</w:t>
      </w:r>
    </w:p>
    <w:p>
      <w:pPr>
        <w:pStyle w:val="Compact"/>
        <w:numPr>
          <w:ilvl w:val="0"/>
          <w:numId w:val="1016"/>
        </w:numPr>
      </w:pPr>
      <w:r>
        <w:t xml:space="preserve">Additional Intelligent Labels weakness or delays to the food rollout;</w:t>
      </w:r>
    </w:p>
    <w:p>
      <w:pPr>
        <w:pStyle w:val="Compact"/>
        <w:numPr>
          <w:ilvl w:val="0"/>
          <w:numId w:val="1016"/>
        </w:numPr>
      </w:pPr>
      <w:r>
        <w:t xml:space="preserve">Solutions margin declining further; or</w:t>
      </w:r>
    </w:p>
    <w:p>
      <w:pPr>
        <w:pStyle w:val="Compact"/>
        <w:numPr>
          <w:ilvl w:val="0"/>
          <w:numId w:val="1016"/>
        </w:numPr>
      </w:pPr>
      <w:r>
        <w:t xml:space="preserve">Management backing away from sequential second-half earnings growth.</w:t>
      </w:r>
    </w:p>
    <w:bookmarkEnd w:id="24"/>
    <w:bookmarkEnd w:id="25"/>
    <w:bookmarkStart w:id="26" w:name="bottom-line"/>
    <w:p>
      <w:pPr>
        <w:pStyle w:val="Heading2"/>
      </w:pPr>
      <w:r>
        <w:t xml:space="preserve">Bottom line</w:t>
      </w:r>
    </w:p>
    <w:p>
      <w:pPr>
        <w:pStyle w:val="FirstParagraph"/>
      </w:pPr>
      <w:r>
        <w:t xml:space="preserve">The Q2 headline hurdle is manageable: consensus sits near the midpoint of Avery’s own EPS range, and the stock has already de-rated. The real test is whether the company can show that Q2 represents the trough in its 2026 earnings cadence.</w:t>
      </w:r>
    </w:p>
    <w:p>
      <w:pPr>
        <w:pStyle w:val="BodyText"/>
      </w:pPr>
      <w:r>
        <w:t xml:space="preserve">The best evidence would be completed label-materials destocking, disciplined price/cost execution, improving high-value Materials demand, and specific confirmation that Intelligent Labels programs are entering their promised second-half ramp. If those pieces are intact, the current valuation could look attractive. If they slip, the approximately $10 full-year consensus and the expected 2027 acceleration will become more difficult to defend.</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www.marketbeat.com/earnings/reports/2026-7-30-avery-dennison-co-stock/?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www.marketbeat.com/earnings/reports/2026-7-30-avery-dennison-co-stock/?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2026-07-29T19:05:48Z</dcterms:created>
  <dcterms:modified xsi:type="dcterms:W3CDTF">2026-07-29T19:05:48Z</dcterms:modified>
</cp:coreProperties>
</file>

<file path=docProps/custom.xml><?xml version="1.0" encoding="utf-8"?>
<Properties xmlns="http://schemas.openxmlformats.org/officeDocument/2006/custom-properties" xmlns:vt="http://schemas.openxmlformats.org/officeDocument/2006/docPropsVTypes"/>
</file>