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82fc7039925f8a0d9755aca122db201473414f2"/>
    <w:p>
      <w:pPr>
        <w:pStyle w:val="Heading1"/>
      </w:pPr>
      <w:r>
        <w:t xml:space="preserve">Avery Dennison (NYSE: AVY) — 2Q26 Earnings Preview</w:t>
      </w:r>
    </w:p>
    <w:p>
      <w:pPr>
        <w:pStyle w:val="FirstParagraph"/>
      </w:pPr>
      <w:r>
        <w:rPr>
          <w:b/>
          <w:bCs/>
        </w:rPr>
        <w:t xml:space="preserve">Event:</w:t>
      </w:r>
      <w:r>
        <w:t xml:space="preserve"> </w:t>
      </w:r>
      <w:r>
        <w:t xml:space="preserve">Avery Dennison reports second-quarter 2026 results before market open on</w:t>
      </w:r>
      <w:r>
        <w:t xml:space="preserve"> </w:t>
      </w:r>
      <w:r>
        <w:rPr>
          <w:b/>
          <w:bCs/>
        </w:rPr>
        <w:t xml:space="preserve">Thursday, July 30, 2026</w:t>
      </w:r>
      <w:r>
        <w:t xml:space="preserve">, with its earnings call at</w:t>
      </w:r>
      <w:r>
        <w:t xml:space="preserve"> </w:t>
      </w:r>
      <w:r>
        <w:rPr>
          <w:b/>
          <w:bCs/>
        </w:rPr>
        <w:t xml:space="preserve">11:00 a.m. ET</w:t>
      </w:r>
      <w:r>
        <w:t xml:space="preserve">. (</w:t>
      </w:r>
      <w:hyperlink r:id="rId9">
        <w:r>
          <w:rPr>
            <w:rStyle w:val="Hyperlink"/>
          </w:rPr>
          <w:t xml:space="preserve">investors.averydennison.com</w:t>
        </w:r>
      </w:hyperlink>
      <w:r>
        <w:t xml:space="preserve">)</w:t>
      </w:r>
    </w:p>
    <w:bookmarkStart w:id="11" w:name="X4eae1653078a93b71385760b6f8fd4e5da52d3a"/>
    <w:p>
      <w:pPr>
        <w:pStyle w:val="Heading2"/>
      </w:pPr>
      <w:r>
        <w:t xml:space="preserve">Investment view: the quarter matters, but the second-half bridge matters more</w:t>
      </w:r>
    </w:p>
    <w:p>
      <w:pPr>
        <w:pStyle w:val="FirstParagraph"/>
      </w:pPr>
      <w:r>
        <w:t xml:space="preserve">AVY enters earnings with a relatively modest near-term earnings bar, but a meaningful execution debate. Management’s 2Q outlook calls for</w:t>
      </w:r>
      <w:r>
        <w:t xml:space="preserve"> </w:t>
      </w:r>
      <w:r>
        <w:rPr>
          <w:b/>
          <w:bCs/>
        </w:rPr>
        <w:t xml:space="preserve">adjusted EPS of</w:t>
      </w:r>
      <w:r>
        <w:rPr>
          <w:b/>
          <w:bCs/>
        </w:rPr>
        <w:t xml:space="preserve"> </w:t>
      </w:r>
      <m:oMath>
        <m:r>
          <m:t>2.43</m:t>
        </m:r>
        <m:r>
          <m:rPr>
            <m:sty m:val="p"/>
          </m:rPr>
          <m:t>–</m:t>
        </m:r>
      </m:oMath>
      <w:r>
        <w:rPr>
          <w:b/>
          <w:bCs/>
        </w:rPr>
        <w:t xml:space="preserve">2.53</w:t>
      </w:r>
      <w:r>
        <w:t xml:space="preserve">, while the current published consensus is approximately</w:t>
      </w:r>
      <w:r>
        <w:t xml:space="preserve"> </w:t>
      </w:r>
      <w:r>
        <w:rPr>
          <w:b/>
          <w:bCs/>
        </w:rPr>
        <w:t xml:space="preserve">$2.47</w:t>
      </w:r>
      <w:r>
        <w:t xml:space="preserve">—essentially the midpoint of guidance. The more important determinant of the stock reaction is likely to be whether management can validate its expected second-half acceleration in Intelligent Labels, high-value materials and productivity savings while containing the impact of second-quarter destocking and raw-material inflation. (</w:t>
      </w:r>
      <w:hyperlink r:id="rId10">
        <w:r>
          <w:rPr>
            <w:rStyle w:val="Hyperlink"/>
          </w:rPr>
          <w:t xml:space="preserve">investors.averydennison.com</w:t>
        </w:r>
      </w:hyperlink>
      <w:r>
        <w:t xml:space="preserve">)</w:t>
      </w:r>
    </w:p>
    <w:p>
      <w:pPr>
        <w:pStyle w:val="BodyText"/>
      </w:pPr>
      <w:r>
        <w:t xml:space="preserve">At the July 29 close of</w:t>
      </w:r>
      <w:r>
        <w:t xml:space="preserve"> </w:t>
      </w:r>
      <w:r>
        <w:rPr>
          <w:b/>
          <w:bCs/>
        </w:rPr>
        <w:t xml:space="preserve">$166.39</w:t>
      </w:r>
      <w:r>
        <w:t xml:space="preserve">, AVY was down roughly</w:t>
      </w:r>
      <w:r>
        <w:t xml:space="preserve"> </w:t>
      </w:r>
      <w:r>
        <w:rPr>
          <w:b/>
          <w:bCs/>
        </w:rPr>
        <w:t xml:space="preserve">8.5% year to date</w:t>
      </w:r>
      <w:r>
        <w:t xml:space="preserve"> </w:t>
      </w:r>
      <w:r>
        <w:t xml:space="preserve">and about</w:t>
      </w:r>
      <w:r>
        <w:t xml:space="preserve"> </w:t>
      </w:r>
      <w:r>
        <w:rPr>
          <w:b/>
          <w:bCs/>
        </w:rPr>
        <w:t xml:space="preserve">15.5% below</w:t>
      </w:r>
      <w:r>
        <w:t xml:space="preserve"> </w:t>
      </w:r>
      <w:r>
        <w:t xml:space="preserve">its February 20, 2026 closing high of $196.92. That price performance suggests investors already recognize the cyclical risks around apparel, logistics and inflation; however, it also leaves little room for a weak outlook on the company’s higher-value growth platforms.</w:t>
      </w:r>
    </w:p>
    <w:bookmarkEnd w:id="11"/>
    <w:bookmarkStart w:id="12" w:name="the-setup"/>
    <w:p>
      <w:pPr>
        <w:pStyle w:val="Heading2"/>
      </w:pPr>
      <w:r>
        <w:t xml:space="preserve">The setup</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setup</w:t>
            </w:r>
          </w:p>
        </w:tc>
      </w:tr>
      <w:tr>
        <w:tc>
          <w:tcPr/>
          <w:p>
            <w:pPr>
              <w:pStyle w:val="Compact"/>
            </w:pPr>
            <w:r>
              <w:rPr>
                <w:b/>
                <w:bCs/>
              </w:rPr>
              <w:t xml:space="preserve">Company adjusted EPS guide</w:t>
            </w:r>
          </w:p>
        </w:tc>
        <w:tc>
          <w:tcPr/>
          <w:p>
            <w:pPr>
              <w:pStyle w:val="Compact"/>
              <w:jc w:val="right"/>
            </w:pPr>
            <m:oMath>
              <m:r>
                <m:t>2.43</m:t>
              </m:r>
              <m:r>
                <m:rPr>
                  <m:sty m:val="p"/>
                </m:rPr>
                <m:t>–</m:t>
              </m:r>
            </m:oMath>
            <w:r>
              <w:rPr>
                <w:b/>
                <w:bCs/>
              </w:rPr>
              <w:t xml:space="preserve">2.53</w:t>
            </w:r>
          </w:p>
        </w:tc>
      </w:tr>
      <w:tr>
        <w:tc>
          <w:tcPr/>
          <w:p>
            <w:pPr>
              <w:pStyle w:val="Compact"/>
            </w:pPr>
            <w:r>
              <w:rPr>
                <w:b/>
                <w:bCs/>
              </w:rPr>
              <w:t xml:space="preserve">Published EPS consensus</w:t>
            </w:r>
          </w:p>
        </w:tc>
        <w:tc>
          <w:tcPr/>
          <w:p>
            <w:pPr>
              <w:pStyle w:val="Compact"/>
              <w:jc w:val="right"/>
            </w:pPr>
            <w:r>
              <w:rPr>
                <w:b/>
                <w:bCs/>
              </w:rPr>
              <w:t xml:space="preserve">$2.47</w:t>
            </w:r>
          </w:p>
        </w:tc>
      </w:tr>
      <w:tr>
        <w:tc>
          <w:tcPr/>
          <w:p>
            <w:pPr>
              <w:pStyle w:val="Compact"/>
            </w:pPr>
            <w:r>
              <w:rPr>
                <w:b/>
                <w:bCs/>
              </w:rPr>
              <w:t xml:space="preserve">2Q25 adjusted EPS</w:t>
            </w:r>
          </w:p>
        </w:tc>
        <w:tc>
          <w:tcPr/>
          <w:p>
            <w:pPr>
              <w:pStyle w:val="Compact"/>
              <w:jc w:val="right"/>
            </w:pPr>
            <w:r>
              <w:rPr>
                <w:b/>
                <w:bCs/>
              </w:rPr>
              <w:t xml:space="preserve">$2.42</w:t>
            </w:r>
          </w:p>
        </w:tc>
      </w:tr>
      <w:tr>
        <w:tc>
          <w:tcPr/>
          <w:p>
            <w:pPr>
              <w:pStyle w:val="Compact"/>
            </w:pPr>
            <w:r>
              <w:rPr>
                <w:b/>
                <w:bCs/>
              </w:rPr>
              <w:t xml:space="preserve">Implied consensus EPS growth</w:t>
            </w:r>
          </w:p>
        </w:tc>
        <w:tc>
          <w:tcPr/>
          <w:p>
            <w:pPr>
              <w:pStyle w:val="Compact"/>
              <w:jc w:val="right"/>
            </w:pPr>
            <w:r>
              <w:rPr>
                <w:b/>
                <w:bCs/>
              </w:rPr>
              <w:t xml:space="preserve">~2% YoY</w:t>
            </w:r>
          </w:p>
        </w:tc>
      </w:tr>
      <w:tr>
        <w:tc>
          <w:tcPr/>
          <w:p>
            <w:pPr>
              <w:pStyle w:val="Compact"/>
            </w:pPr>
            <w:r>
              <w:rPr>
                <w:b/>
                <w:bCs/>
              </w:rPr>
              <w:t xml:space="preserve">Company organic-sales guide</w:t>
            </w:r>
          </w:p>
        </w:tc>
        <w:tc>
          <w:tcPr/>
          <w:p>
            <w:pPr>
              <w:pStyle w:val="Compact"/>
              <w:jc w:val="right"/>
            </w:pPr>
            <w:r>
              <w:rPr>
                <w:b/>
                <w:bCs/>
              </w:rPr>
              <w:t xml:space="preserve">0%–2% YoY</w:t>
            </w:r>
          </w:p>
        </w:tc>
      </w:tr>
      <w:tr>
        <w:tc>
          <w:tcPr/>
          <w:p>
            <w:pPr>
              <w:pStyle w:val="Compact"/>
            </w:pPr>
            <w:r>
              <w:rPr>
                <w:b/>
                <w:bCs/>
              </w:rPr>
              <w:t xml:space="preserve">Company reported-sales guide</w:t>
            </w:r>
          </w:p>
        </w:tc>
        <w:tc>
          <w:tcPr/>
          <w:p>
            <w:pPr>
              <w:pStyle w:val="Compact"/>
              <w:jc w:val="right"/>
            </w:pPr>
            <w:r>
              <w:rPr>
                <w:b/>
                <w:bCs/>
              </w:rPr>
              <w:t xml:space="preserve">2%–4% YoY</w:t>
            </w:r>
          </w:p>
        </w:tc>
      </w:tr>
      <w:tr>
        <w:tc>
          <w:tcPr/>
          <w:p>
            <w:pPr>
              <w:pStyle w:val="Compact"/>
            </w:pPr>
            <w:r>
              <w:rPr>
                <w:b/>
                <w:bCs/>
              </w:rPr>
              <w:t xml:space="preserve">2Q25 sales base</w:t>
            </w:r>
          </w:p>
        </w:tc>
        <w:tc>
          <w:tcPr/>
          <w:p>
            <w:pPr>
              <w:pStyle w:val="Compact"/>
              <w:jc w:val="right"/>
            </w:pPr>
            <w:r>
              <w:rPr>
                <w:b/>
                <w:bCs/>
              </w:rPr>
              <w:t xml:space="preserve">$2.22 billion</w:t>
            </w:r>
          </w:p>
        </w:tc>
      </w:tr>
      <w:tr>
        <w:tc>
          <w:tcPr/>
          <w:p>
            <w:pPr>
              <w:pStyle w:val="Compact"/>
            </w:pPr>
            <w:r>
              <w:rPr>
                <w:b/>
                <w:bCs/>
              </w:rPr>
              <w:t xml:space="preserve">Implied 2Q26 reported-sales range</w:t>
            </w:r>
          </w:p>
        </w:tc>
        <w:tc>
          <w:tcPr/>
          <w:p>
            <w:pPr>
              <w:pStyle w:val="Compact"/>
              <w:jc w:val="right"/>
            </w:pPr>
            <w:r>
              <w:rPr>
                <w:b/>
                <w:bCs/>
              </w:rPr>
              <w:t xml:space="preserve">~</w:t>
            </w:r>
            <m:oMath>
              <m:r>
                <m:t>2.27</m:t>
              </m:r>
              <m:r>
                <m:rPr>
                  <m:sty m:val="p"/>
                </m:rPr>
                <m:t>–</m:t>
              </m:r>
            </m:oMath>
            <w:r>
              <w:rPr>
                <w:b/>
                <w:bCs/>
              </w:rPr>
              <w:t xml:space="preserve">2.31 billion</w:t>
            </w:r>
          </w:p>
        </w:tc>
      </w:tr>
    </w:tbl>
    <w:p>
      <w:pPr>
        <w:pStyle w:val="BodyText"/>
      </w:pPr>
      <w:r>
        <w:t xml:space="preserve">Management’s EPS range implies only modest year-over-year growth versus the $2.42 adjusted EPS earned in 2Q25. The sales guide assumes 0%–2% organic growth, supplemented by roughly one point each from currency and the Taylor Adhesives acquisition. (</w:t>
      </w:r>
      <w:hyperlink r:id="rId10">
        <w:r>
          <w:rPr>
            <w:rStyle w:val="Hyperlink"/>
          </w:rPr>
          <w:t xml:space="preserve">investors.averydennison.com</w:t>
        </w:r>
      </w:hyperlink>
      <w:r>
        <w:t xml:space="preserve">)</w:t>
      </w:r>
    </w:p>
    <w:bookmarkEnd w:id="12"/>
    <w:bookmarkStart w:id="17" w:name="what-needs-to-go-right"/>
    <w:p>
      <w:pPr>
        <w:pStyle w:val="Heading2"/>
      </w:pPr>
      <w:r>
        <w:t xml:space="preserve">What needs to go right</w:t>
      </w:r>
    </w:p>
    <w:bookmarkStart w:id="13" w:name="Xc9ab147e144c2fecc2d75b607e8f6e0af998a2a"/>
    <w:p>
      <w:pPr>
        <w:pStyle w:val="Heading3"/>
      </w:pPr>
      <w:r>
        <w:t xml:space="preserve">1. Materials Group must absorb the prebuy unwind without a material margin hit</w:t>
      </w:r>
    </w:p>
    <w:p>
      <w:pPr>
        <w:pStyle w:val="FirstParagraph"/>
      </w:pPr>
      <w:r>
        <w:t xml:space="preserve">Materials was the stabilizer in 1Q: organic sales rose</w:t>
      </w:r>
      <w:r>
        <w:t xml:space="preserve"> </w:t>
      </w:r>
      <w:r>
        <w:rPr>
          <w:b/>
          <w:bCs/>
        </w:rPr>
        <w:t xml:space="preserve">1.9%</w:t>
      </w:r>
      <w:r>
        <w:t xml:space="preserve">, supported by mid-single-digit volume/mix growth in base categories. But management also identified customer purchasing ahead of price increases—particularly in March and April—and expected that inventory build to unwind in the latter half of 2Q. (</w:t>
      </w:r>
      <w:hyperlink r:id="rId10">
        <w:r>
          <w:rPr>
            <w:rStyle w:val="Hyperlink"/>
          </w:rPr>
          <w:t xml:space="preserve">investors.averydennison.com</w:t>
        </w:r>
      </w:hyperlink>
      <w:r>
        <w:t xml:space="preserve">)</w:t>
      </w:r>
    </w:p>
    <w:p>
      <w:pPr>
        <w:pStyle w:val="BodyText"/>
      </w:pPr>
      <w:r>
        <w:t xml:space="preserve">For 2Q, investors should distinguish between:</w:t>
      </w:r>
    </w:p>
    <w:p>
      <w:pPr>
        <w:pStyle w:val="Compact"/>
        <w:numPr>
          <w:ilvl w:val="0"/>
          <w:numId w:val="1001"/>
        </w:numPr>
      </w:pPr>
      <w:r>
        <w:rPr>
          <w:b/>
          <w:bCs/>
        </w:rPr>
        <w:t xml:space="preserve">Healthy underlying demand/share gains</w:t>
      </w:r>
      <w:r>
        <w:t xml:space="preserve">, especially in Label Materials;</w:t>
      </w:r>
    </w:p>
    <w:p>
      <w:pPr>
        <w:pStyle w:val="Compact"/>
        <w:numPr>
          <w:ilvl w:val="0"/>
          <w:numId w:val="1001"/>
        </w:numPr>
      </w:pPr>
      <w:r>
        <w:t xml:space="preserve">A predictable, temporary</w:t>
      </w:r>
      <w:r>
        <w:t xml:space="preserve"> </w:t>
      </w:r>
      <w:r>
        <w:rPr>
          <w:b/>
          <w:bCs/>
        </w:rPr>
        <w:t xml:space="preserve">destocking effect</w:t>
      </w:r>
      <w:r>
        <w:t xml:space="preserve"> </w:t>
      </w:r>
      <w:r>
        <w:t xml:space="preserve">following prebuys;</w:t>
      </w:r>
    </w:p>
    <w:p>
      <w:pPr>
        <w:pStyle w:val="Compact"/>
        <w:numPr>
          <w:ilvl w:val="0"/>
          <w:numId w:val="1001"/>
        </w:numPr>
      </w:pPr>
      <w:r>
        <w:t xml:space="preserve">Whether operational flexibility and productivity can prevent this timing effect from diluting Materials margins.</w:t>
      </w:r>
    </w:p>
    <w:p>
      <w:pPr>
        <w:pStyle w:val="FirstParagraph"/>
      </w:pPr>
      <w:r>
        <w:t xml:space="preserve">A manageable unwind paired with stable base-category demand would support the view that 2Q is a timing trough rather than the beginning of a broader volume downturn.</w:t>
      </w:r>
    </w:p>
    <w:bookmarkEnd w:id="13"/>
    <w:bookmarkStart w:id="14" w:name="Xd1d5af29faa086296621eb7bf9b227b86119830"/>
    <w:p>
      <w:pPr>
        <w:pStyle w:val="Heading3"/>
      </w:pPr>
      <w:r>
        <w:t xml:space="preserve">2. Price/cost execution is the central earnings variable</w:t>
      </w:r>
    </w:p>
    <w:p>
      <w:pPr>
        <w:pStyle w:val="FirstParagraph"/>
      </w:pPr>
      <w:r>
        <w:t xml:space="preserve">At the April earnings call, AVY described a sharp shift from raw-material deflation to inflation, expecting</w:t>
      </w:r>
      <w:r>
        <w:t xml:space="preserve"> </w:t>
      </w:r>
      <w:r>
        <w:rPr>
          <w:b/>
          <w:bCs/>
        </w:rPr>
        <w:t xml:space="preserve">high-single-digit sequential inflation in 2Q</w:t>
      </w:r>
      <w:r>
        <w:t xml:space="preserve">. Management said it was implementing global pricing actions, including additional rounds in certain regions, and expected pricing to largely keep pace—albeit with some timing friction.</w:t>
      </w:r>
    </w:p>
    <w:p>
      <w:pPr>
        <w:pStyle w:val="BodyText"/>
      </w:pPr>
      <w:r>
        <w:t xml:space="preserve">The key questions are therefore:</w:t>
      </w:r>
    </w:p>
    <w:p>
      <w:pPr>
        <w:pStyle w:val="Compact"/>
        <w:numPr>
          <w:ilvl w:val="0"/>
          <w:numId w:val="1002"/>
        </w:numPr>
      </w:pPr>
      <w:r>
        <w:t xml:space="preserve">Did pricing offset inflation in 2Q as planned?</w:t>
      </w:r>
    </w:p>
    <w:p>
      <w:pPr>
        <w:pStyle w:val="Compact"/>
        <w:numPr>
          <w:ilvl w:val="0"/>
          <w:numId w:val="1002"/>
        </w:numPr>
      </w:pPr>
      <w:r>
        <w:t xml:space="preserve">Is there a residual price/cost headwind entering 3Q?</w:t>
      </w:r>
    </w:p>
    <w:p>
      <w:pPr>
        <w:pStyle w:val="Compact"/>
        <w:numPr>
          <w:ilvl w:val="0"/>
          <w:numId w:val="1002"/>
        </w:numPr>
      </w:pPr>
      <w:r>
        <w:t xml:space="preserve">Have volumes or customer behavior weakened as price increases moved through the channel?</w:t>
      </w:r>
    </w:p>
    <w:p>
      <w:pPr>
        <w:pStyle w:val="Compact"/>
        <w:numPr>
          <w:ilvl w:val="0"/>
          <w:numId w:val="1002"/>
        </w:numPr>
      </w:pPr>
      <w:r>
        <w:t xml:space="preserve">Did materials re-engineering and procurement actions continue to offset the mix and wage-cost headwinds?</w:t>
      </w:r>
    </w:p>
    <w:p>
      <w:pPr>
        <w:pStyle w:val="FirstParagraph"/>
      </w:pPr>
      <w:r>
        <w:t xml:space="preserve">This is particularly important because 1Q margins were protected through productivity and price/cost actions despite unfavorable mix and higher employee-related costs. (</w:t>
      </w:r>
      <w:hyperlink r:id="rId10">
        <w:r>
          <w:rPr>
            <w:rStyle w:val="Hyperlink"/>
          </w:rPr>
          <w:t xml:space="preserve">investors.averydennison.com</w:t>
        </w:r>
      </w:hyperlink>
      <w:r>
        <w:t xml:space="preserve">)</w:t>
      </w:r>
    </w:p>
    <w:bookmarkEnd w:id="14"/>
    <w:bookmarkStart w:id="16" w:name="Xda39152b8ef2c50291a6126451b493ed1da244c"/>
    <w:p>
      <w:pPr>
        <w:pStyle w:val="Heading3"/>
      </w:pPr>
      <w:r>
        <w:t xml:space="preserve">3. Solutions Group needs evidence that its margin pressure is bottoming</w:t>
      </w:r>
    </w:p>
    <w:p>
      <w:pPr>
        <w:pStyle w:val="FirstParagraph"/>
      </w:pPr>
      <w:r>
        <w:t xml:space="preserve">Solutions remains the weaker segment. In 1Q, organic sales fell</w:t>
      </w:r>
      <w:r>
        <w:t xml:space="preserve"> </w:t>
      </w:r>
      <w:r>
        <w:rPr>
          <w:b/>
          <w:bCs/>
        </w:rPr>
        <w:t xml:space="preserve">0.9%</w:t>
      </w:r>
      <w:r>
        <w:t xml:space="preserve"> </w:t>
      </w:r>
      <w:r>
        <w:t xml:space="preserve">and adjusted EBITDA margin fell</w:t>
      </w:r>
      <w:r>
        <w:t xml:space="preserve"> </w:t>
      </w:r>
      <w:r>
        <w:rPr>
          <w:b/>
          <w:bCs/>
        </w:rPr>
        <w:t xml:space="preserve">80 basis points to 16.4%</w:t>
      </w:r>
      <w:r>
        <w:t xml:space="preserve">, as higher employee costs, lower base-business volumes and growth investments outweighed productivity and favorable net price/cost. Intelligent Labels declined low-single digits, while the base business fell mid-single digits. (</w:t>
      </w:r>
      <w:hyperlink r:id="rId10">
        <w:r>
          <w:rPr>
            <w:rStyle w:val="Hyperlink"/>
          </w:rPr>
          <w:t xml:space="preserve">investors.averydennison.com</w:t>
        </w:r>
      </w:hyperlink>
      <w:r>
        <w:t xml:space="preserve">)</w:t>
      </w:r>
    </w:p>
    <w:p>
      <w:pPr>
        <w:pStyle w:val="BodyText"/>
      </w:pPr>
      <w:r>
        <w:t xml:space="preserve">The earnings call needs to establish whether:</w:t>
      </w:r>
    </w:p>
    <w:p>
      <w:pPr>
        <w:pStyle w:val="Compact"/>
        <w:numPr>
          <w:ilvl w:val="0"/>
          <w:numId w:val="1003"/>
        </w:numPr>
      </w:pPr>
      <w:r>
        <w:t xml:space="preserve">Apparel and other base categories have stabilized;</w:t>
      </w:r>
    </w:p>
    <w:p>
      <w:pPr>
        <w:pStyle w:val="Compact"/>
        <w:numPr>
          <w:ilvl w:val="0"/>
          <w:numId w:val="1003"/>
        </w:numPr>
      </w:pPr>
      <w:r>
        <w:t xml:space="preserve">Vestcom and Embelex remain positive offsets;</w:t>
      </w:r>
    </w:p>
    <w:p>
      <w:pPr>
        <w:pStyle w:val="Compact"/>
        <w:numPr>
          <w:ilvl w:val="0"/>
          <w:numId w:val="1003"/>
        </w:numPr>
      </w:pPr>
      <w:r>
        <w:t xml:space="preserve">Solutions margins can recover as volumes normalize and growth investments become more productive.</w:t>
      </w:r>
    </w:p>
    <w:p>
      <w:pPr>
        <w:pStyle w:val="FirstParagraph"/>
      </w:pPr>
      <w:r>
        <w:t xml:space="preserve">The comparison is relevant because 2Q25 was already soft: company organic sales declined 0.8% in Solutions, with apparel down mid-single digits. (</w:t>
      </w:r>
      <w:hyperlink r:id="rId15">
        <w:r>
          <w:rPr>
            <w:rStyle w:val="Hyperlink"/>
          </w:rPr>
          <w:t xml:space="preserve">investors.averydennison.com</w:t>
        </w:r>
      </w:hyperlink>
      <w:r>
        <w:t xml:space="preserve">)</w:t>
      </w:r>
    </w:p>
    <w:bookmarkEnd w:id="16"/>
    <w:bookmarkEnd w:id="17"/>
    <w:bookmarkStart w:id="18" w:name="X0202b35cdf02eae6bf731f1fbf3196e8fc6eab4"/>
    <w:p>
      <w:pPr>
        <w:pStyle w:val="Heading2"/>
      </w:pPr>
      <w:r>
        <w:t xml:space="preserve">Intelligent Labels: the most important strategic read-through</w:t>
      </w:r>
    </w:p>
    <w:p>
      <w:pPr>
        <w:pStyle w:val="FirstParagraph"/>
      </w:pPr>
      <w:r>
        <w:t xml:space="preserve">Intelligent Labels is likely the highest-value topic on the call.</w:t>
      </w:r>
    </w:p>
    <w:p>
      <w:pPr>
        <w:pStyle w:val="BodyText"/>
      </w:pPr>
      <w:r>
        <w:t xml:space="preserve">In 1Q, the platform declined low-single digits, with encouraging apparel/general-retail growth offset by weakness in logistics. Management attributed much of the logistics softness to customer demand and inventory management around a chip transition. It also maintained that full-year Intelligent Labels growth would exceed 2025, with growth increasingly weighted to the second half.</w:t>
      </w:r>
    </w:p>
    <w:p>
      <w:pPr>
        <w:pStyle w:val="BodyText"/>
      </w:pPr>
      <w:r>
        <w:t xml:space="preserve">The principal second-half catalysts outlined by management were:</w:t>
      </w:r>
    </w:p>
    <w:p>
      <w:pPr>
        <w:pStyle w:val="Compact"/>
        <w:numPr>
          <w:ilvl w:val="0"/>
          <w:numId w:val="1004"/>
        </w:numPr>
      </w:pPr>
      <w:r>
        <w:t xml:space="preserve">Scaling apparel and general-retail programs;</w:t>
      </w:r>
    </w:p>
    <w:p>
      <w:pPr>
        <w:pStyle w:val="Compact"/>
        <w:numPr>
          <w:ilvl w:val="0"/>
          <w:numId w:val="1004"/>
        </w:numPr>
      </w:pPr>
      <w:r>
        <w:t xml:space="preserve">A major food rollout with the largest U.S. grocery retailer;</w:t>
      </w:r>
    </w:p>
    <w:p>
      <w:pPr>
        <w:pStyle w:val="Compact"/>
        <w:numPr>
          <w:ilvl w:val="0"/>
          <w:numId w:val="1004"/>
        </w:numPr>
      </w:pPr>
      <w:r>
        <w:t xml:space="preserve">New logistics pilots;</w:t>
      </w:r>
    </w:p>
    <w:p>
      <w:pPr>
        <w:pStyle w:val="Compact"/>
        <w:numPr>
          <w:ilvl w:val="0"/>
          <w:numId w:val="1004"/>
        </w:numPr>
      </w:pPr>
      <w:r>
        <w:t xml:space="preserve">Expanded sensing and condition-monitoring opportunities through the company’s</w:t>
      </w:r>
      <w:r>
        <w:t xml:space="preserve"> </w:t>
      </w:r>
      <w:r>
        <w:rPr>
          <w:b/>
          <w:bCs/>
        </w:rPr>
        <w:t xml:space="preserve">$75 million Wiliot investment</w:t>
      </w:r>
      <w:r>
        <w:t xml:space="preserve">.</w:t>
      </w:r>
    </w:p>
    <w:p>
      <w:pPr>
        <w:pStyle w:val="FirstParagraph"/>
      </w:pPr>
      <w:r>
        <w:t xml:space="preserve">For 2Q, investors should focus less on whether Intelligent Labels posts a large headline growth number and more on whether the company confirms:</w:t>
      </w:r>
    </w:p>
    <w:p>
      <w:pPr>
        <w:pStyle w:val="Compact"/>
        <w:numPr>
          <w:ilvl w:val="0"/>
          <w:numId w:val="1005"/>
        </w:numPr>
      </w:pPr>
      <w:r>
        <w:rPr>
          <w:b/>
          <w:bCs/>
        </w:rPr>
        <w:t xml:space="preserve">The logistics chip-transition disruption is behind it;</w:t>
      </w:r>
    </w:p>
    <w:p>
      <w:pPr>
        <w:pStyle w:val="Compact"/>
        <w:numPr>
          <w:ilvl w:val="0"/>
          <w:numId w:val="1005"/>
        </w:numPr>
      </w:pPr>
      <w:r>
        <w:rPr>
          <w:b/>
          <w:bCs/>
        </w:rPr>
        <w:t xml:space="preserve">Food-program timing and ramp expectations remain intact;</w:t>
      </w:r>
    </w:p>
    <w:p>
      <w:pPr>
        <w:pStyle w:val="Compact"/>
        <w:numPr>
          <w:ilvl w:val="0"/>
          <w:numId w:val="1005"/>
        </w:numPr>
      </w:pPr>
      <w:r>
        <w:rPr>
          <w:b/>
          <w:bCs/>
        </w:rPr>
        <w:t xml:space="preserve">Apparel program expansions continue despite a cautious discretionary environment;</w:t>
      </w:r>
    </w:p>
    <w:p>
      <w:pPr>
        <w:pStyle w:val="Compact"/>
        <w:numPr>
          <w:ilvl w:val="0"/>
          <w:numId w:val="1005"/>
        </w:numPr>
      </w:pPr>
      <w:r>
        <w:rPr>
          <w:b/>
          <w:bCs/>
        </w:rPr>
        <w:t xml:space="preserve">The second-half revenue ramp is sufficiently visible to support the full-year growth objective.</w:t>
      </w:r>
    </w:p>
    <w:p>
      <w:pPr>
        <w:pStyle w:val="FirstParagraph"/>
      </w:pPr>
      <w:r>
        <w:t xml:space="preserve">A confirmation of the back-half ramp would reinforce AVY’s long-term mix-up narrative. Any deferral in food, retail or logistics deployments would be a more material concern than a small 2Q EPS miss.</w:t>
      </w:r>
    </w:p>
    <w:bookmarkEnd w:id="18"/>
    <w:bookmarkStart w:id="20" w:name="X93857da5af52c8f9490814f3741d7a98f2b308a"/>
    <w:p>
      <w:pPr>
        <w:pStyle w:val="Heading2"/>
      </w:pPr>
      <w:r>
        <w:t xml:space="preserve">Productivity and capital allocation are key offsets</w:t>
      </w:r>
    </w:p>
    <w:p>
      <w:pPr>
        <w:pStyle w:val="FirstParagraph"/>
      </w:pPr>
      <w:r>
        <w:t xml:space="preserve">Management increased its expected 2026 restructuring savings to</w:t>
      </w:r>
      <w:r>
        <w:t xml:space="preserve"> </w:t>
      </w:r>
      <w:r>
        <w:rPr>
          <w:b/>
          <w:bCs/>
        </w:rPr>
        <w:t xml:space="preserve">more than $55 million</w:t>
      </w:r>
      <w:r>
        <w:t xml:space="preserve">, with a substantial portion of the benefit expected in the second half. It also targeted approximately</w:t>
      </w:r>
      <w:r>
        <w:t xml:space="preserve"> </w:t>
      </w:r>
      <w:r>
        <w:rPr>
          <w:b/>
          <w:bCs/>
        </w:rPr>
        <w:t xml:space="preserve">100% adjusted free-cash-flow conversion</w:t>
      </w:r>
      <w:r>
        <w:t xml:space="preserve"> </w:t>
      </w:r>
      <w:r>
        <w:t xml:space="preserve">for the year, with fixed and IT capital spending of roughly $260 million. These are important supports if top-line conditions remain only modest.</w:t>
      </w:r>
    </w:p>
    <w:p>
      <w:pPr>
        <w:pStyle w:val="BodyText"/>
      </w:pPr>
      <w:r>
        <w:t xml:space="preserve">AVY began the year with a solid balance sheet: net debt to adjusted EBITDA was</w:t>
      </w:r>
      <w:r>
        <w:t xml:space="preserve"> </w:t>
      </w:r>
      <w:r>
        <w:rPr>
          <w:b/>
          <w:bCs/>
        </w:rPr>
        <w:t xml:space="preserve">2.4x</w:t>
      </w:r>
      <w:r>
        <w:t xml:space="preserve"> </w:t>
      </w:r>
      <w:r>
        <w:t xml:space="preserve">at the end of 1Q. It returned</w:t>
      </w:r>
      <w:r>
        <w:t xml:space="preserve"> </w:t>
      </w:r>
      <w:r>
        <w:rPr>
          <w:b/>
          <w:bCs/>
        </w:rPr>
        <w:t xml:space="preserve">$133 million</w:t>
      </w:r>
      <w:r>
        <w:t xml:space="preserve"> </w:t>
      </w:r>
      <w:r>
        <w:t xml:space="preserve">to shareholders during the quarter through dividends and buybacks, and raised its quarterly dividend to $1.00 in April. (</w:t>
      </w:r>
      <w:hyperlink r:id="rId10">
        <w:r>
          <w:rPr>
            <w:rStyle w:val="Hyperlink"/>
          </w:rPr>
          <w:t xml:space="preserve">investors.averydennison.com</w:t>
        </w:r>
      </w:hyperlink>
      <w:r>
        <w:t xml:space="preserve">)</w:t>
      </w:r>
    </w:p>
    <w:p>
      <w:pPr>
        <w:pStyle w:val="BodyText"/>
      </w:pPr>
      <w:r>
        <w:t xml:space="preserve">The June appointment of</w:t>
      </w:r>
      <w:r>
        <w:t xml:space="preserve"> </w:t>
      </w:r>
      <w:r>
        <w:rPr>
          <w:b/>
          <w:bCs/>
        </w:rPr>
        <w:t xml:space="preserve">Danny Allouche as President of Materials Group</w:t>
      </w:r>
      <w:r>
        <w:t xml:space="preserve"> </w:t>
      </w:r>
      <w:r>
        <w:t xml:space="preserve">is also worth noting. While it is not likely to be a near-term financial driver, investors may listen for continuity in the Materials growth, pricing and high-value-category strategy. (</w:t>
      </w:r>
      <w:hyperlink r:id="rId19">
        <w:r>
          <w:rPr>
            <w:rStyle w:val="Hyperlink"/>
          </w:rPr>
          <w:t xml:space="preserve">investors.averydennison.com</w:t>
        </w:r>
      </w:hyperlink>
      <w:r>
        <w:t xml:space="preserve">)</w:t>
      </w:r>
    </w:p>
    <w:bookmarkEnd w:id="20"/>
    <w:bookmarkStart w:id="25" w:name="what-investors-should-listen-for"/>
    <w:p>
      <w:pPr>
        <w:pStyle w:val="Heading2"/>
      </w:pPr>
      <w:r>
        <w:t xml:space="preserve">What investors should listen for</w:t>
      </w:r>
    </w:p>
    <w:bookmarkStart w:id="21" w:name="earnings-and-guidance"/>
    <w:p>
      <w:pPr>
        <w:pStyle w:val="Heading3"/>
      </w:pPr>
      <w:r>
        <w:t xml:space="preserve">Earnings and guidance</w:t>
      </w:r>
    </w:p>
    <w:p>
      <w:pPr>
        <w:pStyle w:val="Compact"/>
        <w:numPr>
          <w:ilvl w:val="0"/>
          <w:numId w:val="1006"/>
        </w:numPr>
      </w:pPr>
      <w:r>
        <w:t xml:space="preserve">Is adjusted EPS at least around the</w:t>
      </w:r>
      <w:r>
        <w:t xml:space="preserve"> </w:t>
      </w:r>
      <w:r>
        <w:rPr>
          <w:b/>
          <w:bCs/>
        </w:rPr>
        <w:t xml:space="preserve">$2.48 midpoint</w:t>
      </w:r>
      <w:r>
        <w:t xml:space="preserve">?</w:t>
      </w:r>
    </w:p>
    <w:p>
      <w:pPr>
        <w:pStyle w:val="Compact"/>
        <w:numPr>
          <w:ilvl w:val="0"/>
          <w:numId w:val="1006"/>
        </w:numPr>
      </w:pPr>
      <w:r>
        <w:t xml:space="preserve">Is the expected GAAP-to-adjusted gap consistent with the previously indicated roughly</w:t>
      </w:r>
      <w:r>
        <w:t xml:space="preserve"> </w:t>
      </w:r>
      <w:r>
        <w:rPr>
          <w:b/>
          <w:bCs/>
        </w:rPr>
        <w:t xml:space="preserve">$0.22 per share</w:t>
      </w:r>
      <w:r>
        <w:t xml:space="preserve"> </w:t>
      </w:r>
      <w:r>
        <w:t xml:space="preserve">of restructuring and other items?</w:t>
      </w:r>
    </w:p>
    <w:p>
      <w:pPr>
        <w:pStyle w:val="Compact"/>
        <w:numPr>
          <w:ilvl w:val="0"/>
          <w:numId w:val="1006"/>
        </w:numPr>
      </w:pPr>
      <w:r>
        <w:t xml:space="preserve">Does management preserve its expectation for sequential earnings improvement in 3Q and 4Q?</w:t>
      </w:r>
    </w:p>
    <w:bookmarkEnd w:id="21"/>
    <w:bookmarkStart w:id="22" w:name="demand-and-volumes"/>
    <w:p>
      <w:pPr>
        <w:pStyle w:val="Heading3"/>
      </w:pPr>
      <w:r>
        <w:t xml:space="preserve">Demand and volumes</w:t>
      </w:r>
    </w:p>
    <w:p>
      <w:pPr>
        <w:pStyle w:val="Compact"/>
        <w:numPr>
          <w:ilvl w:val="0"/>
          <w:numId w:val="1007"/>
        </w:numPr>
      </w:pPr>
      <w:r>
        <w:t xml:space="preserve">How much of the anticipated 2Q softness was simply prebuy reversal?</w:t>
      </w:r>
    </w:p>
    <w:p>
      <w:pPr>
        <w:pStyle w:val="Compact"/>
        <w:numPr>
          <w:ilvl w:val="0"/>
          <w:numId w:val="1007"/>
        </w:numPr>
      </w:pPr>
      <w:r>
        <w:t xml:space="preserve">Is demand in Label Materials still healthy after adjusting for channel inventory?</w:t>
      </w:r>
    </w:p>
    <w:p>
      <w:pPr>
        <w:pStyle w:val="Compact"/>
        <w:numPr>
          <w:ilvl w:val="0"/>
          <w:numId w:val="1007"/>
        </w:numPr>
      </w:pPr>
      <w:r>
        <w:t xml:space="preserve">Are apparel orders and customer inventories improving, flatlining or deteriorating?</w:t>
      </w:r>
    </w:p>
    <w:bookmarkEnd w:id="22"/>
    <w:bookmarkStart w:id="23" w:name="margins-and-inflation"/>
    <w:p>
      <w:pPr>
        <w:pStyle w:val="Heading3"/>
      </w:pPr>
      <w:r>
        <w:t xml:space="preserve">Margins and inflation</w:t>
      </w:r>
    </w:p>
    <w:p>
      <w:pPr>
        <w:pStyle w:val="Compact"/>
        <w:numPr>
          <w:ilvl w:val="0"/>
          <w:numId w:val="1008"/>
        </w:numPr>
      </w:pPr>
      <w:r>
        <w:t xml:space="preserve">What was the realized 2Q price/cost relationship?</w:t>
      </w:r>
    </w:p>
    <w:p>
      <w:pPr>
        <w:pStyle w:val="Compact"/>
        <w:numPr>
          <w:ilvl w:val="0"/>
          <w:numId w:val="1008"/>
        </w:numPr>
      </w:pPr>
      <w:r>
        <w:t xml:space="preserve">How much inflation carries into 3Q?</w:t>
      </w:r>
    </w:p>
    <w:p>
      <w:pPr>
        <w:pStyle w:val="Compact"/>
        <w:numPr>
          <w:ilvl w:val="0"/>
          <w:numId w:val="1008"/>
        </w:numPr>
      </w:pPr>
      <w:r>
        <w:t xml:space="preserve">Can restructuring savings, sourcing and productivity offset wage inflation and lower base-business volumes?</w:t>
      </w:r>
    </w:p>
    <w:bookmarkEnd w:id="23"/>
    <w:bookmarkStart w:id="24" w:name="intelligent-labels"/>
    <w:p>
      <w:pPr>
        <w:pStyle w:val="Heading3"/>
      </w:pPr>
      <w:r>
        <w:t xml:space="preserve">Intelligent Labels</w:t>
      </w:r>
    </w:p>
    <w:p>
      <w:pPr>
        <w:pStyle w:val="Compact"/>
        <w:numPr>
          <w:ilvl w:val="0"/>
          <w:numId w:val="1009"/>
        </w:numPr>
      </w:pPr>
      <w:r>
        <w:t xml:space="preserve">Status of the food rollout and its 2026 revenue cadence;</w:t>
      </w:r>
    </w:p>
    <w:p>
      <w:pPr>
        <w:pStyle w:val="Compact"/>
        <w:numPr>
          <w:ilvl w:val="0"/>
          <w:numId w:val="1009"/>
        </w:numPr>
      </w:pPr>
      <w:r>
        <w:t xml:space="preserve">Recovery in logistics after inventory/chip-transition effects;</w:t>
      </w:r>
    </w:p>
    <w:p>
      <w:pPr>
        <w:pStyle w:val="Compact"/>
        <w:numPr>
          <w:ilvl w:val="0"/>
          <w:numId w:val="1009"/>
        </w:numPr>
      </w:pPr>
      <w:r>
        <w:t xml:space="preserve">Progress on apparel, retail and newer logistics pilots;</w:t>
      </w:r>
    </w:p>
    <w:p>
      <w:pPr>
        <w:pStyle w:val="Compact"/>
        <w:numPr>
          <w:ilvl w:val="0"/>
          <w:numId w:val="1009"/>
        </w:numPr>
      </w:pPr>
      <w:r>
        <w:t xml:space="preserve">Evidence that Wiliot broadens AVY’s addressable market rather than merely increasing investment spending.</w:t>
      </w:r>
    </w:p>
    <w:bookmarkEnd w:id="24"/>
    <w:bookmarkEnd w:id="25"/>
    <w:bookmarkStart w:id="29" w:name="potential-market-outcomes"/>
    <w:p>
      <w:pPr>
        <w:pStyle w:val="Heading2"/>
      </w:pPr>
      <w:r>
        <w:t xml:space="preserve">Potential market outcomes</w:t>
      </w:r>
    </w:p>
    <w:bookmarkStart w:id="26" w:name="bull-case"/>
    <w:p>
      <w:pPr>
        <w:pStyle w:val="Heading3"/>
      </w:pPr>
      <w:r>
        <w:t xml:space="preserve">Bull case</w:t>
      </w:r>
    </w:p>
    <w:p>
      <w:pPr>
        <w:pStyle w:val="FirstParagraph"/>
      </w:pPr>
      <w:r>
        <w:t xml:space="preserve">AVY delivers EPS above the midpoint or near the top end of guidance, characterizes destocking as limited and temporary, demonstrates price/cost neutrality, and confirms a visible second-half Intelligent Labels ramp. This would strengthen confidence that the current quarter is the low point in the year’s earnings cadence.</w:t>
      </w:r>
    </w:p>
    <w:bookmarkEnd w:id="26"/>
    <w:bookmarkStart w:id="27" w:name="base-case"/>
    <w:p>
      <w:pPr>
        <w:pStyle w:val="Heading3"/>
      </w:pPr>
      <w:r>
        <w:t xml:space="preserve">Base case</w:t>
      </w:r>
    </w:p>
    <w:p>
      <w:pPr>
        <w:pStyle w:val="FirstParagraph"/>
      </w:pPr>
      <w:r>
        <w:t xml:space="preserve">Results land near the</w:t>
      </w:r>
      <w:r>
        <w:t xml:space="preserve"> </w:t>
      </w:r>
      <m:oMath>
        <m:r>
          <m:t>2.47</m:t>
        </m:r>
        <m:r>
          <m:rPr>
            <m:sty m:val="p"/>
          </m:rPr>
          <m:t>–</m:t>
        </m:r>
      </m:oMath>
      <w:r>
        <w:rPr>
          <w:b/>
          <w:bCs/>
        </w:rPr>
        <w:t xml:space="preserve">2.50</w:t>
      </w:r>
      <w:r>
        <w:t xml:space="preserve"> </w:t>
      </w:r>
      <w:r>
        <w:t xml:space="preserve">range, organic growth is modest, Materials absorbs the prebuy unwind as expected, and management reiterates a sequentially improving second half. This outcome likely keeps attention on execution rather than creating a major fundamental reset.</w:t>
      </w:r>
    </w:p>
    <w:bookmarkEnd w:id="27"/>
    <w:bookmarkStart w:id="28" w:name="bear-case"/>
    <w:p>
      <w:pPr>
        <w:pStyle w:val="Heading3"/>
      </w:pPr>
      <w:r>
        <w:t xml:space="preserve">Bear case</w:t>
      </w:r>
    </w:p>
    <w:p>
      <w:pPr>
        <w:pStyle w:val="FirstParagraph"/>
      </w:pPr>
      <w:r>
        <w:t xml:space="preserve">Results trend toward the low end of guidance due to a larger-than-expected volume unwind or price/cost lag, while management becomes less definitive on food-rollout timing, logistics normalization or the second-half Intelligent Labels inflection. A weak Solutions-margin outlook would compound the downside risk.</w:t>
      </w:r>
    </w:p>
    <w:bookmarkEnd w:id="28"/>
    <w:bookmarkEnd w:id="29"/>
    <w:bookmarkStart w:id="30" w:name="bottom-line"/>
    <w:p>
      <w:pPr>
        <w:pStyle w:val="Heading2"/>
      </w:pPr>
      <w:r>
        <w:t xml:space="preserve">Bottom line</w:t>
      </w:r>
    </w:p>
    <w:p>
      <w:pPr>
        <w:pStyle w:val="FirstParagraph"/>
      </w:pPr>
      <w:r>
        <w:rPr>
          <w:b/>
          <w:bCs/>
        </w:rPr>
        <w:t xml:space="preserve">AVY’s 2Q26 report is primarily a credibility test for the second-half acceleration thesis.</w:t>
      </w:r>
      <w:r>
        <w:t xml:space="preserve"> </w:t>
      </w:r>
      <w:r>
        <w:t xml:space="preserve">The near-term EPS hurdle is manageable, but investors need confirmation that temporary 2Q issues—prebuy destocking, inflation timing and logistics softness—are not evolving into a broader demand problem. The highest-quality outcome would pair in-line-to-better EPS with stable Materials margins, clear price/cost control and specific evidence that Intelligent Labels growth is set to accelerate in the back half of 2026.</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investors.averydennison.com/news/news-details/2025/Avery-Dennison-Announces-Second-Quarter-2025-Results/default.aspx?utm_source=openai" TargetMode="External" /><Relationship Type="http://schemas.openxmlformats.org/officeDocument/2006/relationships/hyperlink" Id="rId10" Target="https://investors.averydennison.com/news/news-details/2026/Avery-Dennison-Announces-First-Quarter-2026-Results/default.aspx" TargetMode="External" /><Relationship Type="http://schemas.openxmlformats.org/officeDocument/2006/relationships/hyperlink" Id="rId19" Target="https://investors.averydennison.com/news/news-details/2026/Avery-Dennison-Names-Danny-Allouche-President-Materials-Group/default.aspx?utm_source=openai" TargetMode="External" /><Relationship Type="http://schemas.openxmlformats.org/officeDocument/2006/relationships/hyperlink" Id="rId9" Target="https://investors.averydennison.com/news/news-details/2026/Avery-Dennison-to-Webcast-Second-Quarter-2026-Earnings-Conference-Call/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15" Target="https://investors.averydennison.com/news/news-details/2025/Avery-Dennison-Announces-Second-Quarter-2025-Results/default.aspx?utm_source=openai" TargetMode="External" /><Relationship Type="http://schemas.openxmlformats.org/officeDocument/2006/relationships/hyperlink" Id="rId10" Target="https://investors.averydennison.com/news/news-details/2026/Avery-Dennison-Announces-First-Quarter-2026-Results/default.aspx" TargetMode="External" /><Relationship Type="http://schemas.openxmlformats.org/officeDocument/2006/relationships/hyperlink" Id="rId19" Target="https://investors.averydennison.com/news/news-details/2026/Avery-Dennison-Names-Danny-Allouche-President-Materials-Group/default.aspx?utm_source=openai" TargetMode="External" /><Relationship Type="http://schemas.openxmlformats.org/officeDocument/2006/relationships/hyperlink" Id="rId9" Target="https://investors.averydennison.com/news/news-details/2026/Avery-Dennison-to-Webcast-Second-Quarter-2026-Earnings-Conference-Call/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2026-07-29T19:06:27Z</dcterms:created>
  <dcterms:modified xsi:type="dcterms:W3CDTF">2026-07-29T19:06:27Z</dcterms:modified>
</cp:coreProperties>
</file>

<file path=docProps/custom.xml><?xml version="1.0" encoding="utf-8"?>
<Properties xmlns="http://schemas.openxmlformats.org/officeDocument/2006/custom-properties" xmlns:vt="http://schemas.openxmlformats.org/officeDocument/2006/docPropsVTypes"/>
</file>