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Avery Dennison Corporation (AVY)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Avery Dennison Corporation</w:t>
            </w:r>
          </w:p>
        </w:tc>
      </w:tr>
      <w:tr>
        <w:tc>
          <w:tcPr>
            <w:tcW w:type="dxa" w:w="4320"/>
          </w:tcPr>
          <w:p>
            <w:r>
              <w:rPr>
                <w:rFonts w:ascii="Calibri" w:hAnsi="Calibri"/>
                <w:b/>
                <w:sz w:val="22"/>
              </w:rPr>
              <w:t>Ticker</w:t>
            </w:r>
          </w:p>
        </w:tc>
        <w:tc>
          <w:tcPr>
            <w:tcW w:type="dxa" w:w="4320"/>
          </w:tcPr>
          <w:p>
            <w:r>
              <w:rPr>
                <w:rFonts w:ascii="Calibri" w:hAnsi="Calibri"/>
                <w:sz w:val="22"/>
              </w:rPr>
              <w:t>AVY (NYSE)</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30, 2026 — 11:00 AM ET</w:t>
            </w:r>
          </w:p>
        </w:tc>
      </w:tr>
      <w:tr>
        <w:tc>
          <w:tcPr>
            <w:tcW w:type="dxa" w:w="4320"/>
          </w:tcPr>
          <w:p>
            <w:r>
              <w:rPr>
                <w:rFonts w:ascii="Calibri" w:hAnsi="Calibri"/>
                <w:b/>
                <w:sz w:val="22"/>
              </w:rPr>
              <w:t>Prepared</w:t>
            </w:r>
          </w:p>
        </w:tc>
        <w:tc>
          <w:tcPr>
            <w:tcW w:type="dxa" w:w="4320"/>
          </w:tcPr>
          <w:p>
            <w:r>
              <w:rPr>
                <w:rFonts w:ascii="Calibri" w:hAnsi="Calibri"/>
                <w:sz w:val="22"/>
              </w:rPr>
              <w:t>July 29, 2026</w:t>
            </w:r>
          </w:p>
        </w:tc>
      </w:tr>
      <w:tr>
        <w:tc>
          <w:tcPr>
            <w:tcW w:type="dxa" w:w="4320"/>
          </w:tcPr>
          <w:p>
            <w:r>
              <w:rPr>
                <w:rFonts w:ascii="Calibri" w:hAnsi="Calibri"/>
                <w:b/>
                <w:sz w:val="22"/>
              </w:rPr>
              <w:t>Last Earnings</w:t>
            </w:r>
          </w:p>
        </w:tc>
        <w:tc>
          <w:tcPr>
            <w:tcW w:type="dxa" w:w="4320"/>
          </w:tcPr>
          <w:p>
            <w:r>
              <w:rPr>
                <w:rFonts w:ascii="Calibri" w:hAnsi="Calibri"/>
                <w:sz w:val="22"/>
              </w:rPr>
              <w:t>April 28, 2026 (Q1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is balanced-to-slightly-cautious — consensus sits near the guidance midpoint, the pre-buy unwind is the single biggest swing factor, and the stock has already de-rated meaningfully since last earnings, leaving limited cushion for a miss.</w:t>
      </w:r>
    </w:p>
    <w:p>
      <w:r>
        <w:rPr>
          <w:rFonts w:ascii="Calibri" w:hAnsi="Calibri"/>
          <w:color w:val="525866"/>
          <w:sz w:val="22"/>
        </w:rPr>
        <w:t xml:space="preserve">Heading into Q2 2026, the bar for AVY is not particularly high: consensus adjusted EPS of ~$2.47 sits essentially at the guidance midpoint of $2.48, and organic growth consensus of ~0.75% is squarely within the 0–2% guided range. </w:t>
      </w:r>
      <w:r>
        <w:rPr>
          <w:rFonts w:ascii="Calibri" w:hAnsi="Calibri"/>
          <w:b/>
          <w:color w:val="525866"/>
          <w:sz w:val="22"/>
        </w:rPr>
        <w:t>The key known headwind is the ~$0.10 EPS swing from Q1 to Q2 driven by the assumed destocking of March pre-buys</w:t>
      </w:r>
      <w:r>
        <w:rPr>
          <w:rFonts w:ascii="Calibri" w:hAnsi="Calibri"/>
          <w:color w:val="525866"/>
          <w:sz w:val="22"/>
        </w:rPr>
        <w:t xml:space="preserve"> — management explicitly flagged this on the Q1 call, so the market is prepared, but the magnitude of the actual unwind (and whether it bleeds into Q3) is the primary uncertainty. Management’s tone on the Q1 call was constructive but measured: they raised restructuring savings guidance to &gt;$55M, expressed high confidence in their pricing playbook to offset high-single-digit sequential raw material inflation in Q2, and maintained full-year sequential earnings growth expectations — but widened scenario planning and acknowledged inflation is running above original assumptions. </w:t>
      </w:r>
      <w:r>
        <w:rPr>
          <w:rFonts w:ascii="Calibri" w:hAnsi="Calibri"/>
          <w:b/>
          <w:color w:val="525866"/>
          <w:sz w:val="22"/>
        </w:rPr>
        <w:t>Estimate revisions have drifted modestly lower since Q1 print</w:t>
      </w:r>
      <w:r>
        <w:rPr>
          <w:rFonts w:ascii="Calibri" w:hAnsi="Calibri"/>
          <w:color w:val="525866"/>
          <w:sz w:val="22"/>
        </w:rPr>
        <w:t xml:space="preserve"> (Q2 EPS consensus slipped from ~$2.46 at the post-print baseline to ~$2.47 currently, essentially flat), suggesting the street has largely absorbed the guidance and is not pricing in incremental upside. The stock has underperformed materially since last earnings — down ~5% vs. XLB flat and SPY +2.5% — compressing the NTM P/E from ~18x to ~16x, which means the multiple is no longer stretched and a clean print could catalyze a re-rating. </w:t>
      </w:r>
      <w:r>
        <w:rPr>
          <w:rFonts w:ascii="Calibri" w:hAnsi="Calibri"/>
          <w:b/>
          <w:color w:val="525866"/>
          <w:sz w:val="22"/>
        </w:rPr>
        <w:t>The wildcard is Intelligent Labels: logistics softness and the chip-transition headwind were supposed to largely resolve by end of Q2, and any signal on the Walmart food rollout ramp or new apparel program wins in H2 could be the decisive upside catalyst.</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fair (not high) bar — estimates sit at the guidance midpoint across all key metrics. </w:t>
      </w:r>
      <w:r>
        <w:rPr>
          <w:rFonts w:ascii="Calibri" w:hAnsi="Calibri"/>
          <w:b/>
          <w:color w:val="525866"/>
          <w:sz w:val="22"/>
        </w:rPr>
        <w:t>Organic growth is the bigger swing factor</w:t>
      </w:r>
      <w:r>
        <w:rPr>
          <w:rFonts w:ascii="Calibri" w:hAnsi="Calibri"/>
          <w:color w:val="525866"/>
          <w:sz w:val="22"/>
        </w:rPr>
        <w:t>: a pre-buy unwind that is larger or smaller than assumed could move the organic growth print by 100–200 bps vs. consensus, with a direct read-through to EPS via volume leverage.</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Net Revenue ($M)</w:t>
            </w:r>
          </w:p>
        </w:tc>
        <w:tc>
          <w:tcPr>
            <w:tcW w:type="dxa" w:w="1234"/>
          </w:tcPr>
          <w:p>
            <w:r>
              <w:rPr>
                <w:rFonts w:ascii="Calibri" w:hAnsi="Calibri"/>
                <w:sz w:val="22"/>
              </w:rPr>
              <w:t>$2,298.5M</w:t>
            </w:r>
          </w:p>
        </w:tc>
        <w:tc>
          <w:tcPr>
            <w:tcW w:type="dxa" w:w="1234"/>
          </w:tcPr>
          <w:p>
            <w:r>
              <w:rPr>
                <w:rFonts w:ascii="Calibri" w:hAnsi="Calibri"/>
                <w:sz w:val="22"/>
              </w:rPr>
              <w:t>$2,220.5M</w:t>
            </w:r>
          </w:p>
        </w:tc>
        <w:tc>
          <w:tcPr>
            <w:tcW w:type="dxa" w:w="1234"/>
          </w:tcPr>
          <w:p>
            <w:r>
              <w:rPr>
                <w:rFonts w:ascii="Calibri" w:hAnsi="Calibri"/>
                <w:sz w:val="22"/>
              </w:rPr>
              <w:t>$2,295.1M</w:t>
            </w:r>
          </w:p>
        </w:tc>
        <w:tc>
          <w:tcPr>
            <w:tcW w:type="dxa" w:w="1234"/>
          </w:tcPr>
          <w:p>
            <w:r>
              <w:rPr>
                <w:rFonts w:ascii="Calibri" w:hAnsi="Calibri"/>
                <w:sz w:val="22"/>
              </w:rPr>
              <w:t>+3.4% YoY</w:t>
            </w:r>
          </w:p>
        </w:tc>
        <w:tc>
          <w:tcPr>
            <w:tcW w:type="dxa" w:w="1234"/>
          </w:tcPr>
          <w:p>
            <w:r>
              <w:rPr>
                <w:rFonts w:ascii="Calibri" w:hAnsi="Calibri"/>
                <w:sz w:val="22"/>
              </w:rPr>
              <w:t>+2–4% reported growth (~$2,265–$2,311M)</w:t>
            </w:r>
          </w:p>
        </w:tc>
        <w:tc>
          <w:tcPr>
            <w:tcW w:type="dxa" w:w="1234"/>
          </w:tcPr>
          <w:p>
            <w:r>
              <w:rPr>
                <w:rFonts w:ascii="Calibri" w:hAnsi="Calibri"/>
                <w:sz w:val="22"/>
              </w:rPr>
              <w:t>~−0.1% vs. midpoint</w:t>
            </w:r>
          </w:p>
        </w:tc>
      </w:tr>
      <w:tr>
        <w:tc>
          <w:tcPr>
            <w:tcW w:type="dxa" w:w="1234"/>
          </w:tcPr>
          <w:p>
            <w:r>
              <w:rPr>
                <w:rFonts w:ascii="Calibri" w:hAnsi="Calibri"/>
                <w:sz w:val="22"/>
              </w:rPr>
              <w:t>Adj. EPS — Diluted (Operating)</w:t>
            </w:r>
          </w:p>
        </w:tc>
        <w:tc>
          <w:tcPr>
            <w:tcW w:type="dxa" w:w="1234"/>
          </w:tcPr>
          <w:p>
            <w:r>
              <w:rPr>
                <w:rFonts w:ascii="Calibri" w:hAnsi="Calibri"/>
                <w:sz w:val="22"/>
              </w:rPr>
              <w:t>$2.47</w:t>
            </w:r>
          </w:p>
        </w:tc>
        <w:tc>
          <w:tcPr>
            <w:tcW w:type="dxa" w:w="1234"/>
          </w:tcPr>
          <w:p>
            <w:r>
              <w:rPr>
                <w:rFonts w:ascii="Calibri" w:hAnsi="Calibri"/>
                <w:sz w:val="22"/>
              </w:rPr>
              <w:t>$2.42</w:t>
            </w:r>
          </w:p>
        </w:tc>
        <w:tc>
          <w:tcPr>
            <w:tcW w:type="dxa" w:w="1234"/>
          </w:tcPr>
          <w:p>
            <w:r>
              <w:rPr>
                <w:rFonts w:ascii="Calibri" w:hAnsi="Calibri"/>
                <w:sz w:val="22"/>
              </w:rPr>
              <w:t>$2.47</w:t>
            </w:r>
          </w:p>
        </w:tc>
        <w:tc>
          <w:tcPr>
            <w:tcW w:type="dxa" w:w="1234"/>
          </w:tcPr>
          <w:p>
            <w:r>
              <w:rPr>
                <w:rFonts w:ascii="Calibri" w:hAnsi="Calibri"/>
                <w:sz w:val="22"/>
              </w:rPr>
              <w:t>+2.1% YoY</w:t>
            </w:r>
          </w:p>
        </w:tc>
        <w:tc>
          <w:tcPr>
            <w:tcW w:type="dxa" w:w="1234"/>
          </w:tcPr>
          <w:p>
            <w:r>
              <w:rPr>
                <w:rFonts w:ascii="Calibri" w:hAnsi="Calibri"/>
                <w:sz w:val="22"/>
              </w:rPr>
              <w:t>$2.43–$2.53 (mid: $2.48)</w:t>
            </w:r>
          </w:p>
        </w:tc>
        <w:tc>
          <w:tcPr>
            <w:tcW w:type="dxa" w:w="1234"/>
          </w:tcPr>
          <w:p>
            <w:r>
              <w:rPr>
                <w:rFonts w:ascii="Calibri" w:hAnsi="Calibri"/>
                <w:sz w:val="22"/>
              </w:rPr>
              <w:t>−0.4% vs. midpoint</w:t>
            </w:r>
          </w:p>
        </w:tc>
      </w:tr>
      <w:tr>
        <w:tc>
          <w:tcPr>
            <w:tcW w:type="dxa" w:w="1234"/>
          </w:tcPr>
          <w:p>
            <w:r>
              <w:rPr>
                <w:rFonts w:ascii="Calibri" w:hAnsi="Calibri"/>
                <w:sz w:val="22"/>
              </w:rPr>
              <w:t>Organic Growth (%)</w:t>
            </w:r>
          </w:p>
        </w:tc>
        <w:tc>
          <w:tcPr>
            <w:tcW w:type="dxa" w:w="1234"/>
          </w:tcPr>
          <w:p>
            <w:r>
              <w:rPr>
                <w:rFonts w:ascii="Calibri" w:hAnsi="Calibri"/>
                <w:sz w:val="22"/>
              </w:rPr>
              <w:t>+1.0%</w:t>
            </w:r>
          </w:p>
        </w:tc>
        <w:tc>
          <w:tcPr>
            <w:tcW w:type="dxa" w:w="1234"/>
          </w:tcPr>
          <w:p>
            <w:r>
              <w:rPr>
                <w:rFonts w:ascii="Calibri" w:hAnsi="Calibri"/>
                <w:sz w:val="22"/>
              </w:rPr>
              <w:t>−0.9%</w:t>
            </w:r>
          </w:p>
        </w:tc>
        <w:tc>
          <w:tcPr>
            <w:tcW w:type="dxa" w:w="1234"/>
          </w:tcPr>
          <w:p>
            <w:r>
              <w:rPr>
                <w:rFonts w:ascii="Calibri" w:hAnsi="Calibri"/>
                <w:sz w:val="22"/>
              </w:rPr>
              <w:t>+0.75%</w:t>
            </w:r>
          </w:p>
        </w:tc>
        <w:tc>
          <w:tcPr>
            <w:tcW w:type="dxa" w:w="1234"/>
          </w:tcPr>
          <w:p>
            <w:r>
              <w:rPr>
                <w:rFonts w:ascii="Calibri" w:hAnsi="Calibri"/>
                <w:sz w:val="22"/>
              </w:rPr>
              <w:t>+165 bps YoY</w:t>
            </w:r>
          </w:p>
        </w:tc>
        <w:tc>
          <w:tcPr>
            <w:tcW w:type="dxa" w:w="1234"/>
          </w:tcPr>
          <w:p>
            <w:r>
              <w:rPr>
                <w:rFonts w:ascii="Calibri" w:hAnsi="Calibri"/>
                <w:sz w:val="22"/>
              </w:rPr>
              <w:t>0–2% (mid: +1.0%)</w:t>
            </w:r>
          </w:p>
        </w:tc>
        <w:tc>
          <w:tcPr>
            <w:tcW w:type="dxa" w:w="1234"/>
          </w:tcPr>
          <w:p>
            <w:r>
              <w:rPr>
                <w:rFonts w:ascii="Calibri" w:hAnsi="Calibri"/>
                <w:sz w:val="22"/>
              </w:rPr>
              <w:t>−25 bps vs. midpoint</w:t>
            </w:r>
          </w:p>
        </w:tc>
      </w:tr>
      <w:tr>
        <w:tc>
          <w:tcPr>
            <w:tcW w:type="dxa" w:w="1234"/>
          </w:tcPr>
          <w:p>
            <w:r>
              <w:rPr>
                <w:rFonts w:ascii="Calibri" w:hAnsi="Calibri"/>
                <w:sz w:val="22"/>
              </w:rPr>
              <w:t>Adj. EBITDA ($M)</w:t>
            </w:r>
          </w:p>
        </w:tc>
        <w:tc>
          <w:tcPr>
            <w:tcW w:type="dxa" w:w="1234"/>
          </w:tcPr>
          <w:p>
            <w:r>
              <w:rPr>
                <w:rFonts w:ascii="Calibri" w:hAnsi="Calibri"/>
                <w:sz w:val="22"/>
              </w:rPr>
              <w:t>$376.5M</w:t>
            </w:r>
          </w:p>
        </w:tc>
        <w:tc>
          <w:tcPr>
            <w:tcW w:type="dxa" w:w="1234"/>
          </w:tcPr>
          <w:p>
            <w:r>
              <w:rPr>
                <w:rFonts w:ascii="Calibri" w:hAnsi="Calibri"/>
                <w:sz w:val="22"/>
              </w:rPr>
              <w:t>$367.5M</w:t>
            </w:r>
          </w:p>
        </w:tc>
        <w:tc>
          <w:tcPr>
            <w:tcW w:type="dxa" w:w="1234"/>
          </w:tcPr>
          <w:p>
            <w:r>
              <w:rPr>
                <w:rFonts w:ascii="Calibri" w:hAnsi="Calibri"/>
                <w:sz w:val="22"/>
              </w:rPr>
              <w:t>$376.9M</w:t>
            </w:r>
          </w:p>
        </w:tc>
        <w:tc>
          <w:tcPr>
            <w:tcW w:type="dxa" w:w="1234"/>
          </w:tcPr>
          <w:p>
            <w:r>
              <w:rPr>
                <w:rFonts w:ascii="Calibri" w:hAnsi="Calibri"/>
                <w:sz w:val="22"/>
              </w:rPr>
              <w:t>+2.6% YoY</w:t>
            </w:r>
          </w:p>
        </w:tc>
        <w:tc>
          <w:tcPr>
            <w:tcW w:type="dxa" w:w="1234"/>
          </w:tcPr>
          <w:p>
            <w:r>
              <w:rPr>
                <w:rFonts w:ascii="Calibri" w:hAnsi="Calibri"/>
                <w:sz w:val="22"/>
              </w:rPr>
              <w:t>N/A (EPS-based guidance)</w:t>
            </w:r>
          </w:p>
        </w:tc>
        <w:tc>
          <w:tcPr>
            <w:tcW w:type="dxa" w:w="1234"/>
          </w:tcPr>
          <w:p>
            <w:r>
              <w:rPr>
                <w:rFonts w:ascii="Calibri" w:hAnsi="Calibri"/>
                <w:sz w:val="22"/>
              </w:rPr>
              <w:t>N/A</w:t>
            </w:r>
          </w:p>
        </w:tc>
      </w:tr>
      <w:tr>
        <w:tc>
          <w:tcPr>
            <w:tcW w:type="dxa" w:w="1234"/>
          </w:tcPr>
          <w:p>
            <w:r>
              <w:rPr>
                <w:rFonts w:ascii="Calibri" w:hAnsi="Calibri"/>
                <w:sz w:val="22"/>
              </w:rPr>
              <w:t>Revenue — Materials Group ($M)</w:t>
            </w:r>
          </w:p>
        </w:tc>
        <w:tc>
          <w:tcPr>
            <w:tcW w:type="dxa" w:w="1234"/>
          </w:tcPr>
          <w:p>
            <w:r>
              <w:rPr>
                <w:rFonts w:ascii="Calibri" w:hAnsi="Calibri"/>
                <w:sz w:val="22"/>
              </w:rPr>
              <w:t>$1,649.3M</w:t>
            </w:r>
          </w:p>
        </w:tc>
        <w:tc>
          <w:tcPr>
            <w:tcW w:type="dxa" w:w="1234"/>
          </w:tcPr>
          <w:p>
            <w:r>
              <w:rPr>
                <w:rFonts w:ascii="Calibri" w:hAnsi="Calibri"/>
                <w:sz w:val="22"/>
              </w:rPr>
              <w:t>$1,550.2M</w:t>
            </w:r>
          </w:p>
        </w:tc>
        <w:tc>
          <w:tcPr>
            <w:tcW w:type="dxa" w:w="1234"/>
          </w:tcPr>
          <w:p>
            <w:r>
              <w:rPr>
                <w:rFonts w:ascii="Calibri" w:hAnsi="Calibri"/>
                <w:sz w:val="22"/>
              </w:rPr>
              <w:t>$1,614.5M</w:t>
            </w:r>
          </w:p>
        </w:tc>
        <w:tc>
          <w:tcPr>
            <w:tcW w:type="dxa" w:w="1234"/>
          </w:tcPr>
          <w:p>
            <w:r>
              <w:rPr>
                <w:rFonts w:ascii="Calibri" w:hAnsi="Calibri"/>
                <w:sz w:val="22"/>
              </w:rPr>
              <w:t>+4.1% YoY</w:t>
            </w:r>
          </w:p>
        </w:tc>
        <w:tc>
          <w:tcPr>
            <w:tcW w:type="dxa" w:w="1234"/>
          </w:tcPr>
          <w:p>
            <w:r>
              <w:rPr>
                <w:rFonts w:ascii="Calibri" w:hAnsi="Calibri"/>
                <w:sz w:val="22"/>
              </w:rPr>
              <w:t>N/A (segment not guided separately)</w:t>
            </w:r>
          </w:p>
        </w:tc>
        <w:tc>
          <w:tcPr>
            <w:tcW w:type="dxa" w:w="1234"/>
          </w:tcPr>
          <w:p>
            <w:r>
              <w:rPr>
                <w:rFonts w:ascii="Calibri" w:hAnsi="Calibri"/>
                <w:sz w:val="22"/>
              </w:rPr>
              <w:t>N/A</w:t>
            </w:r>
          </w:p>
        </w:tc>
      </w:tr>
      <w:tr>
        <w:tc>
          <w:tcPr>
            <w:tcW w:type="dxa" w:w="1234"/>
          </w:tcPr>
          <w:p>
            <w:r>
              <w:rPr>
                <w:rFonts w:ascii="Calibri" w:hAnsi="Calibri"/>
                <w:sz w:val="22"/>
              </w:rPr>
              <w:t>Revenue — Solutions Group (RBIS) ($M)</w:t>
            </w:r>
          </w:p>
        </w:tc>
        <w:tc>
          <w:tcPr>
            <w:tcW w:type="dxa" w:w="1234"/>
          </w:tcPr>
          <w:p>
            <w:r>
              <w:rPr>
                <w:rFonts w:ascii="Calibri" w:hAnsi="Calibri"/>
                <w:sz w:val="22"/>
              </w:rPr>
              <w:t>$649.2M</w:t>
            </w:r>
          </w:p>
        </w:tc>
        <w:tc>
          <w:tcPr>
            <w:tcW w:type="dxa" w:w="1234"/>
          </w:tcPr>
          <w:p>
            <w:r>
              <w:rPr>
                <w:rFonts w:ascii="Calibri" w:hAnsi="Calibri"/>
                <w:sz w:val="22"/>
              </w:rPr>
              <w:t>$670.3M</w:t>
            </w:r>
          </w:p>
        </w:tc>
        <w:tc>
          <w:tcPr>
            <w:tcW w:type="dxa" w:w="1234"/>
          </w:tcPr>
          <w:p>
            <w:r>
              <w:rPr>
                <w:rFonts w:ascii="Calibri" w:hAnsi="Calibri"/>
                <w:sz w:val="22"/>
              </w:rPr>
              <w:t>$687.9M</w:t>
            </w:r>
          </w:p>
        </w:tc>
        <w:tc>
          <w:tcPr>
            <w:tcW w:type="dxa" w:w="1234"/>
          </w:tcPr>
          <w:p>
            <w:r>
              <w:rPr>
                <w:rFonts w:ascii="Calibri" w:hAnsi="Calibri"/>
                <w:sz w:val="22"/>
              </w:rPr>
              <w:t>+2.6% YoY</w:t>
            </w:r>
          </w:p>
        </w:tc>
        <w:tc>
          <w:tcPr>
            <w:tcW w:type="dxa" w:w="1234"/>
          </w:tcPr>
          <w:p>
            <w:r>
              <w:rPr>
                <w:rFonts w:ascii="Calibri" w:hAnsi="Calibri"/>
                <w:sz w:val="22"/>
              </w:rPr>
              <w:t>N/A (segment not guided separately)</w:t>
            </w:r>
          </w:p>
        </w:tc>
        <w:tc>
          <w:tcPr>
            <w:tcW w:type="dxa" w:w="1234"/>
          </w:tcPr>
          <w:p>
            <w:r>
              <w:rPr>
                <w:rFonts w:ascii="Calibri" w:hAnsi="Calibri"/>
                <w:sz w:val="22"/>
              </w:rPr>
              <w:t>N/A</w:t>
            </w:r>
          </w:p>
        </w:tc>
      </w:tr>
    </w:tbl>
    <w:p>
      <w:r>
        <w:rPr>
          <w:rFonts w:ascii="Calibri" w:hAnsi="Calibri"/>
          <w:i/>
          <w:color w:val="525866"/>
          <w:sz w:val="22"/>
        </w:rPr>
        <w:t>Source: Visible Alpha Consensus and Actuals Data. Q2 2026 guidance from AVY Q1 2026 Earnings Presentation (April 28, 2026). Consensus estimates as of July 29, 2026.</w:t>
      </w:r>
    </w:p>
    <w:p>
      <w:pPr>
        <w:pStyle w:val="Heading3"/>
      </w:pPr>
      <w:r>
        <w:rPr>
          <w:rFonts w:ascii="Calibri" w:hAnsi="Calibri"/>
          <w:b/>
          <w:color w:val="3B4259"/>
          <w:sz w:val="24"/>
        </w:rPr>
        <w:t>Table 2 — Beat/Miss History: Last 8 Quarters (Top 2 KPIs: Adj. EPS &amp; Net Revenue)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Adj. EPS</w:t>
            </w:r>
          </w:p>
        </w:tc>
        <w:tc>
          <w:tcPr>
            <w:tcW w:type="dxa" w:w="1440"/>
          </w:tcPr>
          <w:p>
            <w:r>
              <w:rPr>
                <w:rFonts w:ascii="Calibri" w:hAnsi="Calibri"/>
                <w:sz w:val="22"/>
              </w:rPr>
              <w:t>$2.47</w:t>
            </w:r>
          </w:p>
        </w:tc>
        <w:tc>
          <w:tcPr>
            <w:tcW w:type="dxa" w:w="1440"/>
          </w:tcPr>
          <w:p>
            <w:r>
              <w:rPr>
                <w:rFonts w:ascii="Calibri" w:hAnsi="Calibri"/>
                <w:sz w:val="22"/>
              </w:rPr>
              <w:t>$2.42</w:t>
            </w:r>
          </w:p>
        </w:tc>
        <w:tc>
          <w:tcPr>
            <w:tcW w:type="dxa" w:w="1440"/>
          </w:tcPr>
          <w:p>
            <w:r>
              <w:rPr>
                <w:rFonts w:ascii="Calibri" w:hAnsi="Calibri"/>
                <w:b/>
                <w:color w:val="30A46C"/>
                <w:sz w:val="22"/>
              </w:rPr>
              <w:t>+2.1%</w:t>
            </w:r>
          </w:p>
        </w:tc>
        <w:tc>
          <w:tcPr>
            <w:tcW w:type="dxa" w:w="1440"/>
          </w:tcPr>
          <w:p>
            <w:r>
              <w:rPr>
                <w:rFonts w:ascii="Calibri" w:hAnsi="Calibri"/>
                <w:sz w:val="22"/>
              </w:rPr>
              <w:t>Beat</w:t>
            </w:r>
          </w:p>
        </w:tc>
      </w:tr>
      <w:tr>
        <w:tc>
          <w:tcPr>
            <w:tcW w:type="dxa" w:w="1440"/>
          </w:tcPr>
          <w:p>
            <w:r>
              <w:rPr>
                <w:rFonts w:ascii="Calibri" w:hAnsi="Calibri"/>
                <w:sz w:val="22"/>
              </w:rPr>
              <w:t>Q1 2026</w:t>
            </w:r>
          </w:p>
        </w:tc>
        <w:tc>
          <w:tcPr>
            <w:tcW w:type="dxa" w:w="1440"/>
          </w:tcPr>
          <w:p>
            <w:r>
              <w:rPr>
                <w:rFonts w:ascii="Calibri" w:hAnsi="Calibri"/>
                <w:sz w:val="22"/>
              </w:rPr>
              <w:t>Net Revenue</w:t>
            </w:r>
          </w:p>
        </w:tc>
        <w:tc>
          <w:tcPr>
            <w:tcW w:type="dxa" w:w="1440"/>
          </w:tcPr>
          <w:p>
            <w:r>
              <w:rPr>
                <w:rFonts w:ascii="Calibri" w:hAnsi="Calibri"/>
                <w:sz w:val="22"/>
              </w:rPr>
              <w:t>$2,298.5M</w:t>
            </w:r>
          </w:p>
        </w:tc>
        <w:tc>
          <w:tcPr>
            <w:tcW w:type="dxa" w:w="1440"/>
          </w:tcPr>
          <w:p>
            <w:r>
              <w:rPr>
                <w:rFonts w:ascii="Calibri" w:hAnsi="Calibri"/>
                <w:sz w:val="22"/>
              </w:rPr>
              <w:t>$2,256.8M</w:t>
            </w:r>
          </w:p>
        </w:tc>
        <w:tc>
          <w:tcPr>
            <w:tcW w:type="dxa" w:w="1440"/>
          </w:tcPr>
          <w:p>
            <w:r>
              <w:rPr>
                <w:rFonts w:ascii="Calibri" w:hAnsi="Calibri"/>
                <w:b/>
                <w:color w:val="30A46C"/>
                <w:sz w:val="22"/>
              </w:rPr>
              <w:t>+1.8%</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Adj. EPS</w:t>
            </w:r>
          </w:p>
        </w:tc>
        <w:tc>
          <w:tcPr>
            <w:tcW w:type="dxa" w:w="1440"/>
          </w:tcPr>
          <w:p>
            <w:r>
              <w:rPr>
                <w:rFonts w:ascii="Calibri" w:hAnsi="Calibri"/>
                <w:sz w:val="22"/>
              </w:rPr>
              <w:t>$2.45</w:t>
            </w:r>
          </w:p>
        </w:tc>
        <w:tc>
          <w:tcPr>
            <w:tcW w:type="dxa" w:w="1440"/>
          </w:tcPr>
          <w:p>
            <w:r>
              <w:rPr>
                <w:rFonts w:ascii="Calibri" w:hAnsi="Calibri"/>
                <w:sz w:val="22"/>
              </w:rPr>
              <w:t>$2.39</w:t>
            </w:r>
          </w:p>
        </w:tc>
        <w:tc>
          <w:tcPr>
            <w:tcW w:type="dxa" w:w="1440"/>
          </w:tcPr>
          <w:p>
            <w:r>
              <w:rPr>
                <w:rFonts w:ascii="Calibri" w:hAnsi="Calibri"/>
                <w:b/>
                <w:color w:val="30A46C"/>
                <w:sz w:val="22"/>
              </w:rPr>
              <w:t>+2.5%</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Net Revenue</w:t>
            </w:r>
          </w:p>
        </w:tc>
        <w:tc>
          <w:tcPr>
            <w:tcW w:type="dxa" w:w="1440"/>
          </w:tcPr>
          <w:p>
            <w:r>
              <w:rPr>
                <w:rFonts w:ascii="Calibri" w:hAnsi="Calibri"/>
                <w:sz w:val="22"/>
              </w:rPr>
              <w:t>$2,271.2M</w:t>
            </w:r>
          </w:p>
        </w:tc>
        <w:tc>
          <w:tcPr>
            <w:tcW w:type="dxa" w:w="1440"/>
          </w:tcPr>
          <w:p>
            <w:r>
              <w:rPr>
                <w:rFonts w:ascii="Calibri" w:hAnsi="Calibri"/>
                <w:sz w:val="22"/>
              </w:rPr>
              <w:t>$2,283.2M</w:t>
            </w:r>
          </w:p>
        </w:tc>
        <w:tc>
          <w:tcPr>
            <w:tcW w:type="dxa" w:w="1440"/>
          </w:tcPr>
          <w:p>
            <w:r>
              <w:rPr>
                <w:rFonts w:ascii="Calibri" w:hAnsi="Calibri"/>
                <w:b/>
                <w:color w:val="E5484D"/>
                <w:sz w:val="22"/>
              </w:rPr>
              <w:t>−0.5%</w:t>
            </w:r>
          </w:p>
        </w:tc>
        <w:tc>
          <w:tcPr>
            <w:tcW w:type="dxa" w:w="1440"/>
          </w:tcPr>
          <w:p>
            <w:r>
              <w:rPr>
                <w:rFonts w:ascii="Calibri" w:hAnsi="Calibri"/>
                <w:sz w:val="22"/>
              </w:rPr>
              <w:t>Miss</w:t>
            </w:r>
          </w:p>
        </w:tc>
      </w:tr>
      <w:tr>
        <w:tc>
          <w:tcPr>
            <w:tcW w:type="dxa" w:w="1440"/>
          </w:tcPr>
          <w:p>
            <w:r>
              <w:rPr>
                <w:rFonts w:ascii="Calibri" w:hAnsi="Calibri"/>
                <w:sz w:val="22"/>
              </w:rPr>
              <w:t>Q3 2025</w:t>
            </w:r>
          </w:p>
        </w:tc>
        <w:tc>
          <w:tcPr>
            <w:tcW w:type="dxa" w:w="1440"/>
          </w:tcPr>
          <w:p>
            <w:r>
              <w:rPr>
                <w:rFonts w:ascii="Calibri" w:hAnsi="Calibri"/>
                <w:sz w:val="22"/>
              </w:rPr>
              <w:t>Adj. EPS</w:t>
            </w:r>
          </w:p>
        </w:tc>
        <w:tc>
          <w:tcPr>
            <w:tcW w:type="dxa" w:w="1440"/>
          </w:tcPr>
          <w:p>
            <w:r>
              <w:rPr>
                <w:rFonts w:ascii="Calibri" w:hAnsi="Calibri"/>
                <w:sz w:val="22"/>
              </w:rPr>
              <w:t>$2.37</w:t>
            </w:r>
          </w:p>
        </w:tc>
        <w:tc>
          <w:tcPr>
            <w:tcW w:type="dxa" w:w="1440"/>
          </w:tcPr>
          <w:p>
            <w:r>
              <w:rPr>
                <w:rFonts w:ascii="Calibri" w:hAnsi="Calibri"/>
                <w:sz w:val="22"/>
              </w:rPr>
              <w:t>$2.33</w:t>
            </w:r>
          </w:p>
        </w:tc>
        <w:tc>
          <w:tcPr>
            <w:tcW w:type="dxa" w:w="1440"/>
          </w:tcPr>
          <w:p>
            <w:r>
              <w:rPr>
                <w:rFonts w:ascii="Calibri" w:hAnsi="Calibri"/>
                <w:b/>
                <w:color w:val="30A46C"/>
                <w:sz w:val="22"/>
              </w:rPr>
              <w:t>+1.7%</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Net Revenue</w:t>
            </w:r>
          </w:p>
        </w:tc>
        <w:tc>
          <w:tcPr>
            <w:tcW w:type="dxa" w:w="1440"/>
          </w:tcPr>
          <w:p>
            <w:r>
              <w:rPr>
                <w:rFonts w:ascii="Calibri" w:hAnsi="Calibri"/>
                <w:sz w:val="22"/>
              </w:rPr>
              <w:t>$2,215.5M</w:t>
            </w:r>
          </w:p>
        </w:tc>
        <w:tc>
          <w:tcPr>
            <w:tcW w:type="dxa" w:w="1440"/>
          </w:tcPr>
          <w:p>
            <w:r>
              <w:rPr>
                <w:rFonts w:ascii="Calibri" w:hAnsi="Calibri"/>
                <w:sz w:val="22"/>
              </w:rPr>
              <w:t>$2,221.8M</w:t>
            </w:r>
          </w:p>
        </w:tc>
        <w:tc>
          <w:tcPr>
            <w:tcW w:type="dxa" w:w="1440"/>
          </w:tcPr>
          <w:p>
            <w:r>
              <w:rPr>
                <w:rFonts w:ascii="Calibri" w:hAnsi="Calibri"/>
                <w:b/>
                <w:color w:val="E5484D"/>
                <w:sz w:val="22"/>
              </w:rPr>
              <w:t>−0.3%</w:t>
            </w:r>
          </w:p>
        </w:tc>
        <w:tc>
          <w:tcPr>
            <w:tcW w:type="dxa" w:w="1440"/>
          </w:tcPr>
          <w:p>
            <w:r>
              <w:rPr>
                <w:rFonts w:ascii="Calibri" w:hAnsi="Calibri"/>
                <w:sz w:val="22"/>
              </w:rPr>
              <w:t>Miss</w:t>
            </w:r>
          </w:p>
        </w:tc>
      </w:tr>
      <w:tr>
        <w:tc>
          <w:tcPr>
            <w:tcW w:type="dxa" w:w="1440"/>
          </w:tcPr>
          <w:p>
            <w:r>
              <w:rPr>
                <w:rFonts w:ascii="Calibri" w:hAnsi="Calibri"/>
                <w:sz w:val="22"/>
              </w:rPr>
              <w:t>Q2 2025</w:t>
            </w:r>
          </w:p>
        </w:tc>
        <w:tc>
          <w:tcPr>
            <w:tcW w:type="dxa" w:w="1440"/>
          </w:tcPr>
          <w:p>
            <w:r>
              <w:rPr>
                <w:rFonts w:ascii="Calibri" w:hAnsi="Calibri"/>
                <w:sz w:val="22"/>
              </w:rPr>
              <w:t>Adj. EPS</w:t>
            </w:r>
          </w:p>
        </w:tc>
        <w:tc>
          <w:tcPr>
            <w:tcW w:type="dxa" w:w="1440"/>
          </w:tcPr>
          <w:p>
            <w:r>
              <w:rPr>
                <w:rFonts w:ascii="Calibri" w:hAnsi="Calibri"/>
                <w:sz w:val="22"/>
              </w:rPr>
              <w:t>$2.42</w:t>
            </w:r>
          </w:p>
        </w:tc>
        <w:tc>
          <w:tcPr>
            <w:tcW w:type="dxa" w:w="1440"/>
          </w:tcPr>
          <w:p>
            <w:r>
              <w:rPr>
                <w:rFonts w:ascii="Calibri" w:hAnsi="Calibri"/>
                <w:sz w:val="22"/>
              </w:rPr>
              <w:t>$2.40</w:t>
            </w:r>
          </w:p>
        </w:tc>
        <w:tc>
          <w:tcPr>
            <w:tcW w:type="dxa" w:w="1440"/>
          </w:tcPr>
          <w:p>
            <w:r>
              <w:rPr>
                <w:rFonts w:ascii="Calibri" w:hAnsi="Calibri"/>
                <w:b/>
                <w:color w:val="30A46C"/>
                <w:sz w:val="22"/>
              </w:rPr>
              <w:t>+0.8%</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Net Revenue</w:t>
            </w:r>
          </w:p>
        </w:tc>
        <w:tc>
          <w:tcPr>
            <w:tcW w:type="dxa" w:w="1440"/>
          </w:tcPr>
          <w:p>
            <w:r>
              <w:rPr>
                <w:rFonts w:ascii="Calibri" w:hAnsi="Calibri"/>
                <w:sz w:val="22"/>
              </w:rPr>
              <w:t>$2,220.5M</w:t>
            </w:r>
          </w:p>
        </w:tc>
        <w:tc>
          <w:tcPr>
            <w:tcW w:type="dxa" w:w="1440"/>
          </w:tcPr>
          <w:p>
            <w:r>
              <w:rPr>
                <w:rFonts w:ascii="Calibri" w:hAnsi="Calibri"/>
                <w:sz w:val="22"/>
              </w:rPr>
              <w:t>$2,240.6M</w:t>
            </w:r>
          </w:p>
        </w:tc>
        <w:tc>
          <w:tcPr>
            <w:tcW w:type="dxa" w:w="1440"/>
          </w:tcPr>
          <w:p>
            <w:r>
              <w:rPr>
                <w:rFonts w:ascii="Calibri" w:hAnsi="Calibri"/>
                <w:b/>
                <w:color w:val="E5484D"/>
                <w:sz w:val="22"/>
              </w:rPr>
              <w:t>−0.9%</w:t>
            </w:r>
          </w:p>
        </w:tc>
        <w:tc>
          <w:tcPr>
            <w:tcW w:type="dxa" w:w="1440"/>
          </w:tcPr>
          <w:p>
            <w:r>
              <w:rPr>
                <w:rFonts w:ascii="Calibri" w:hAnsi="Calibri"/>
                <w:sz w:val="22"/>
              </w:rPr>
              <w:t>Miss</w:t>
            </w:r>
          </w:p>
        </w:tc>
      </w:tr>
      <w:tr>
        <w:tc>
          <w:tcPr>
            <w:tcW w:type="dxa" w:w="1440"/>
          </w:tcPr>
          <w:p>
            <w:r>
              <w:rPr>
                <w:rFonts w:ascii="Calibri" w:hAnsi="Calibri"/>
                <w:sz w:val="22"/>
              </w:rPr>
              <w:t>Q1 2025</w:t>
            </w:r>
          </w:p>
        </w:tc>
        <w:tc>
          <w:tcPr>
            <w:tcW w:type="dxa" w:w="1440"/>
          </w:tcPr>
          <w:p>
            <w:r>
              <w:rPr>
                <w:rFonts w:ascii="Calibri" w:hAnsi="Calibri"/>
                <w:sz w:val="22"/>
              </w:rPr>
              <w:t>Adj. EPS</w:t>
            </w:r>
          </w:p>
        </w:tc>
        <w:tc>
          <w:tcPr>
            <w:tcW w:type="dxa" w:w="1440"/>
          </w:tcPr>
          <w:p>
            <w:r>
              <w:rPr>
                <w:rFonts w:ascii="Calibri" w:hAnsi="Calibri"/>
                <w:sz w:val="22"/>
              </w:rPr>
              <w:t>$2.30</w:t>
            </w:r>
          </w:p>
        </w:tc>
        <w:tc>
          <w:tcPr>
            <w:tcW w:type="dxa" w:w="1440"/>
          </w:tcPr>
          <w:p>
            <w:r>
              <w:rPr>
                <w:rFonts w:ascii="Calibri" w:hAnsi="Calibri"/>
                <w:sz w:val="22"/>
              </w:rPr>
              <w:t>$2.34</w:t>
            </w:r>
          </w:p>
        </w:tc>
        <w:tc>
          <w:tcPr>
            <w:tcW w:type="dxa" w:w="1440"/>
          </w:tcPr>
          <w:p>
            <w:r>
              <w:rPr>
                <w:rFonts w:ascii="Calibri" w:hAnsi="Calibri"/>
                <w:b/>
                <w:color w:val="E5484D"/>
                <w:sz w:val="22"/>
              </w:rPr>
              <w:t>−1.7%</w:t>
            </w:r>
          </w:p>
        </w:tc>
        <w:tc>
          <w:tcPr>
            <w:tcW w:type="dxa" w:w="1440"/>
          </w:tcPr>
          <w:p>
            <w:r>
              <w:rPr>
                <w:rFonts w:ascii="Calibri" w:hAnsi="Calibri"/>
                <w:sz w:val="22"/>
              </w:rPr>
              <w:t>Miss</w:t>
            </w:r>
          </w:p>
        </w:tc>
      </w:tr>
      <w:tr>
        <w:tc>
          <w:tcPr>
            <w:tcW w:type="dxa" w:w="1440"/>
          </w:tcPr>
          <w:p>
            <w:r>
              <w:rPr>
                <w:rFonts w:ascii="Calibri" w:hAnsi="Calibri"/>
                <w:sz w:val="22"/>
              </w:rPr>
              <w:t>Q1 2025</w:t>
            </w:r>
          </w:p>
        </w:tc>
        <w:tc>
          <w:tcPr>
            <w:tcW w:type="dxa" w:w="1440"/>
          </w:tcPr>
          <w:p>
            <w:r>
              <w:rPr>
                <w:rFonts w:ascii="Calibri" w:hAnsi="Calibri"/>
                <w:sz w:val="22"/>
              </w:rPr>
              <w:t>Net Revenue</w:t>
            </w:r>
          </w:p>
        </w:tc>
        <w:tc>
          <w:tcPr>
            <w:tcW w:type="dxa" w:w="1440"/>
          </w:tcPr>
          <w:p>
            <w:r>
              <w:rPr>
                <w:rFonts w:ascii="Calibri" w:hAnsi="Calibri"/>
                <w:sz w:val="22"/>
              </w:rPr>
              <w:t>$2,148.3M</w:t>
            </w:r>
          </w:p>
        </w:tc>
        <w:tc>
          <w:tcPr>
            <w:tcW w:type="dxa" w:w="1440"/>
          </w:tcPr>
          <w:p>
            <w:r>
              <w:rPr>
                <w:rFonts w:ascii="Calibri" w:hAnsi="Calibri"/>
                <w:sz w:val="22"/>
              </w:rPr>
              <w:t>$2,155.8M</w:t>
            </w:r>
          </w:p>
        </w:tc>
        <w:tc>
          <w:tcPr>
            <w:tcW w:type="dxa" w:w="1440"/>
          </w:tcPr>
          <w:p>
            <w:r>
              <w:rPr>
                <w:rFonts w:ascii="Calibri" w:hAnsi="Calibri"/>
                <w:b/>
                <w:color w:val="E5484D"/>
                <w:sz w:val="22"/>
              </w:rPr>
              <w:t>−0.3%</w:t>
            </w:r>
          </w:p>
        </w:tc>
        <w:tc>
          <w:tcPr>
            <w:tcW w:type="dxa" w:w="1440"/>
          </w:tcPr>
          <w:p>
            <w:r>
              <w:rPr>
                <w:rFonts w:ascii="Calibri" w:hAnsi="Calibri"/>
                <w:sz w:val="22"/>
              </w:rPr>
              <w:t>Miss</w:t>
            </w:r>
          </w:p>
        </w:tc>
      </w:tr>
      <w:tr>
        <w:tc>
          <w:tcPr>
            <w:tcW w:type="dxa" w:w="1440"/>
          </w:tcPr>
          <w:p>
            <w:r>
              <w:rPr>
                <w:rFonts w:ascii="Calibri" w:hAnsi="Calibri"/>
                <w:sz w:val="22"/>
              </w:rPr>
              <w:t>Q4 2024</w:t>
            </w:r>
          </w:p>
        </w:tc>
        <w:tc>
          <w:tcPr>
            <w:tcW w:type="dxa" w:w="1440"/>
          </w:tcPr>
          <w:p>
            <w:r>
              <w:rPr>
                <w:rFonts w:ascii="Calibri" w:hAnsi="Calibri"/>
                <w:sz w:val="22"/>
              </w:rPr>
              <w:t>Adj. EPS</w:t>
            </w:r>
          </w:p>
        </w:tc>
        <w:tc>
          <w:tcPr>
            <w:tcW w:type="dxa" w:w="1440"/>
          </w:tcPr>
          <w:p>
            <w:r>
              <w:rPr>
                <w:rFonts w:ascii="Calibri" w:hAnsi="Calibri"/>
                <w:sz w:val="22"/>
              </w:rPr>
              <w:t>$2.38</w:t>
            </w:r>
          </w:p>
        </w:tc>
        <w:tc>
          <w:tcPr>
            <w:tcW w:type="dxa" w:w="1440"/>
          </w:tcPr>
          <w:p>
            <w:r>
              <w:rPr>
                <w:rFonts w:ascii="Calibri" w:hAnsi="Calibri"/>
                <w:sz w:val="22"/>
              </w:rPr>
              <w:t>$2.38</w:t>
            </w:r>
          </w:p>
        </w:tc>
        <w:tc>
          <w:tcPr>
            <w:tcW w:type="dxa" w:w="1440"/>
          </w:tcPr>
          <w:p>
            <w:r>
              <w:rPr>
                <w:rFonts w:ascii="Calibri" w:hAnsi="Calibri"/>
                <w:sz w:val="22"/>
              </w:rPr>
              <w:t>0.0%</w:t>
            </w:r>
          </w:p>
        </w:tc>
        <w:tc>
          <w:tcPr>
            <w:tcW w:type="dxa" w:w="1440"/>
          </w:tcPr>
          <w:p>
            <w:r>
              <w:rPr>
                <w:rFonts w:ascii="Calibri" w:hAnsi="Calibri"/>
                <w:sz w:val="22"/>
              </w:rPr>
              <w:t>In-Line</w:t>
            </w:r>
          </w:p>
        </w:tc>
      </w:tr>
      <w:tr>
        <w:tc>
          <w:tcPr>
            <w:tcW w:type="dxa" w:w="1440"/>
          </w:tcPr>
          <w:p>
            <w:r>
              <w:rPr>
                <w:rFonts w:ascii="Calibri" w:hAnsi="Calibri"/>
                <w:sz w:val="22"/>
              </w:rPr>
              <w:t>Q4 2024</w:t>
            </w:r>
          </w:p>
        </w:tc>
        <w:tc>
          <w:tcPr>
            <w:tcW w:type="dxa" w:w="1440"/>
          </w:tcPr>
          <w:p>
            <w:r>
              <w:rPr>
                <w:rFonts w:ascii="Calibri" w:hAnsi="Calibri"/>
                <w:sz w:val="22"/>
              </w:rPr>
              <w:t>Net Revenue</w:t>
            </w:r>
          </w:p>
        </w:tc>
        <w:tc>
          <w:tcPr>
            <w:tcW w:type="dxa" w:w="1440"/>
          </w:tcPr>
          <w:p>
            <w:r>
              <w:rPr>
                <w:rFonts w:ascii="Calibri" w:hAnsi="Calibri"/>
                <w:sz w:val="22"/>
              </w:rPr>
              <w:t>$2,185.7M</w:t>
            </w:r>
          </w:p>
        </w:tc>
        <w:tc>
          <w:tcPr>
            <w:tcW w:type="dxa" w:w="1440"/>
          </w:tcPr>
          <w:p>
            <w:r>
              <w:rPr>
                <w:rFonts w:ascii="Calibri" w:hAnsi="Calibri"/>
                <w:sz w:val="22"/>
              </w:rPr>
              <w:t>$2,188.7M</w:t>
            </w:r>
          </w:p>
        </w:tc>
        <w:tc>
          <w:tcPr>
            <w:tcW w:type="dxa" w:w="1440"/>
          </w:tcPr>
          <w:p>
            <w:r>
              <w:rPr>
                <w:rFonts w:ascii="Calibri" w:hAnsi="Calibri"/>
                <w:sz w:val="22"/>
              </w:rPr>
              <w:t>−0.1%</w:t>
            </w:r>
          </w:p>
        </w:tc>
        <w:tc>
          <w:tcPr>
            <w:tcW w:type="dxa" w:w="1440"/>
          </w:tcPr>
          <w:p>
            <w:r>
              <w:rPr>
                <w:rFonts w:ascii="Calibri" w:hAnsi="Calibri"/>
                <w:sz w:val="22"/>
              </w:rPr>
              <w:t>In-Line</w:t>
            </w:r>
          </w:p>
        </w:tc>
      </w:tr>
      <w:tr>
        <w:tc>
          <w:tcPr>
            <w:tcW w:type="dxa" w:w="1440"/>
          </w:tcPr>
          <w:p>
            <w:r>
              <w:rPr>
                <w:rFonts w:ascii="Calibri" w:hAnsi="Calibri"/>
                <w:sz w:val="22"/>
              </w:rPr>
              <w:t>Q3 2024</w:t>
            </w:r>
          </w:p>
        </w:tc>
        <w:tc>
          <w:tcPr>
            <w:tcW w:type="dxa" w:w="1440"/>
          </w:tcPr>
          <w:p>
            <w:r>
              <w:rPr>
                <w:rFonts w:ascii="Calibri" w:hAnsi="Calibri"/>
                <w:sz w:val="22"/>
              </w:rPr>
              <w:t>Adj. EPS</w:t>
            </w:r>
          </w:p>
        </w:tc>
        <w:tc>
          <w:tcPr>
            <w:tcW w:type="dxa" w:w="1440"/>
          </w:tcPr>
          <w:p>
            <w:r>
              <w:rPr>
                <w:rFonts w:ascii="Calibri" w:hAnsi="Calibri"/>
                <w:sz w:val="22"/>
              </w:rPr>
              <w:t>$2.33</w:t>
            </w:r>
          </w:p>
        </w:tc>
        <w:tc>
          <w:tcPr>
            <w:tcW w:type="dxa" w:w="1440"/>
          </w:tcPr>
          <w:p>
            <w:r>
              <w:rPr>
                <w:rFonts w:ascii="Calibri" w:hAnsi="Calibri"/>
                <w:sz w:val="22"/>
              </w:rPr>
              <w:t>$2.33</w:t>
            </w:r>
          </w:p>
        </w:tc>
        <w:tc>
          <w:tcPr>
            <w:tcW w:type="dxa" w:w="1440"/>
          </w:tcPr>
          <w:p>
            <w:r>
              <w:rPr>
                <w:rFonts w:ascii="Calibri" w:hAnsi="Calibri"/>
                <w:sz w:val="22"/>
              </w:rPr>
              <w:t>0.0%</w:t>
            </w:r>
          </w:p>
        </w:tc>
        <w:tc>
          <w:tcPr>
            <w:tcW w:type="dxa" w:w="1440"/>
          </w:tcPr>
          <w:p>
            <w:r>
              <w:rPr>
                <w:rFonts w:ascii="Calibri" w:hAnsi="Calibri"/>
                <w:sz w:val="22"/>
              </w:rPr>
              <w:t>In-Line</w:t>
            </w:r>
          </w:p>
        </w:tc>
      </w:tr>
      <w:tr>
        <w:tc>
          <w:tcPr>
            <w:tcW w:type="dxa" w:w="1440"/>
          </w:tcPr>
          <w:p>
            <w:r>
              <w:rPr>
                <w:rFonts w:ascii="Calibri" w:hAnsi="Calibri"/>
                <w:sz w:val="22"/>
              </w:rPr>
              <w:t>Q3 2024</w:t>
            </w:r>
          </w:p>
        </w:tc>
        <w:tc>
          <w:tcPr>
            <w:tcW w:type="dxa" w:w="1440"/>
          </w:tcPr>
          <w:p>
            <w:r>
              <w:rPr>
                <w:rFonts w:ascii="Calibri" w:hAnsi="Calibri"/>
                <w:sz w:val="22"/>
              </w:rPr>
              <w:t>Net Revenue</w:t>
            </w:r>
          </w:p>
        </w:tc>
        <w:tc>
          <w:tcPr>
            <w:tcW w:type="dxa" w:w="1440"/>
          </w:tcPr>
          <w:p>
            <w:r>
              <w:rPr>
                <w:rFonts w:ascii="Calibri" w:hAnsi="Calibri"/>
                <w:sz w:val="22"/>
              </w:rPr>
              <w:t>$2,183.4M</w:t>
            </w:r>
          </w:p>
        </w:tc>
        <w:tc>
          <w:tcPr>
            <w:tcW w:type="dxa" w:w="1440"/>
          </w:tcPr>
          <w:p>
            <w:r>
              <w:rPr>
                <w:rFonts w:ascii="Calibri" w:hAnsi="Calibri"/>
                <w:sz w:val="22"/>
              </w:rPr>
              <w:t>$2,209.4M</w:t>
            </w:r>
          </w:p>
        </w:tc>
        <w:tc>
          <w:tcPr>
            <w:tcW w:type="dxa" w:w="1440"/>
          </w:tcPr>
          <w:p>
            <w:r>
              <w:rPr>
                <w:rFonts w:ascii="Calibri" w:hAnsi="Calibri"/>
                <w:b/>
                <w:color w:val="E5484D"/>
                <w:sz w:val="22"/>
              </w:rPr>
              <w:t>−1.2%</w:t>
            </w:r>
          </w:p>
        </w:tc>
        <w:tc>
          <w:tcPr>
            <w:tcW w:type="dxa" w:w="1440"/>
          </w:tcPr>
          <w:p>
            <w:r>
              <w:rPr>
                <w:rFonts w:ascii="Calibri" w:hAnsi="Calibri"/>
                <w:sz w:val="22"/>
              </w:rPr>
              <w:t>Miss</w:t>
            </w:r>
          </w:p>
        </w:tc>
      </w:tr>
    </w:tbl>
    <w:p>
      <w:r>
        <w:rPr>
          <w:rFonts w:ascii="Calibri" w:hAnsi="Calibri"/>
          <w:i/>
          <w:color w:val="525866"/>
          <w:sz w:val="22"/>
        </w:rPr>
        <w:t>Source: Visible Alpha Consensus and Actuals Data.</w:t>
      </w:r>
    </w:p>
    <w:p>
      <w:r>
        <w:rPr>
          <w:rFonts w:ascii="Calibri" w:hAnsi="Calibri"/>
          <w:b/>
          <w:color w:val="525866"/>
          <w:sz w:val="22"/>
        </w:rPr>
        <w:t xml:space="preserve">Pattern: </w:t>
      </w:r>
      <w:r>
        <w:rPr>
          <w:rFonts w:ascii="Calibri" w:hAnsi="Calibri"/>
          <w:color w:val="525866"/>
          <w:sz w:val="22"/>
        </w:rPr>
        <w:t>AVY has a strong EPS beat cadence (6 beats, 1 miss, 1 in-line over 8 quarters) but a notably weaker revenue track record (3 beats, 4 misses, 1 in-line), reflecting management’s tendency to guide conservatively on earnings while volume/mix outcomes are harder to predict — the revenue miss pattern is the key risk heading into Q2.</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is unchanged since the Q1 2026 earnings call — no post-earnings 8-K or conference update has altered the Q2 or FY2026 outlook. </w:t>
      </w:r>
      <w:r>
        <w:rPr>
          <w:rFonts w:ascii="Calibri" w:hAnsi="Calibri"/>
          <w:b/>
          <w:color w:val="525866"/>
          <w:sz w:val="22"/>
        </w:rPr>
        <w:t>The tone shift to watch is on raw material inflation</w:t>
      </w:r>
      <w:r>
        <w:rPr>
          <w:rFonts w:ascii="Calibri" w:hAnsi="Calibri"/>
          <w:color w:val="525866"/>
          <w:sz w:val="22"/>
        </w:rPr>
        <w:t>: management acknowledged on April 28 that inflation is running above original plan, and peers reporting in July confirm the inflationary environment has not abated, raising the risk that Q3 guidance could disappoint even if Q2 prints in-line.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28)</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Adj. EPS</w:t>
            </w:r>
          </w:p>
        </w:tc>
        <w:tc>
          <w:tcPr>
            <w:tcW w:type="dxa" w:w="1728"/>
          </w:tcPr>
          <w:p>
            <w:r>
              <w:rPr>
                <w:rFonts w:ascii="Calibri" w:hAnsi="Calibri"/>
                <w:sz w:val="22"/>
              </w:rPr>
              <w:t>$2.43–$2.53 (mid: $2.48)</w:t>
            </w:r>
          </w:p>
        </w:tc>
        <w:tc>
          <w:tcPr>
            <w:tcW w:type="dxa" w:w="1728"/>
          </w:tcPr>
          <w:p>
            <w:r>
              <w:rPr>
                <w:rFonts w:ascii="Calibri" w:hAnsi="Calibri"/>
                <w:sz w:val="22"/>
              </w:rPr>
              <w:t>—</w:t>
            </w:r>
          </w:p>
        </w:tc>
        <w:tc>
          <w:tcPr>
            <w:tcW w:type="dxa" w:w="1728"/>
          </w:tcPr>
          <w:p>
            <w:r>
              <w:rPr>
                <w:rFonts w:ascii="Calibri" w:hAnsi="Calibri"/>
                <w:sz w:val="22"/>
              </w:rPr>
              <w:t>$2.47</w:t>
            </w:r>
          </w:p>
        </w:tc>
        <w:tc>
          <w:tcPr>
            <w:tcW w:type="dxa" w:w="1728"/>
          </w:tcPr>
          <w:p>
            <w:r>
              <w:rPr>
                <w:rFonts w:ascii="Calibri" w:hAnsi="Calibri"/>
                <w:sz w:val="22"/>
              </w:rPr>
              <w:t>Unchanged; consensus ~$0.01 below midpoint</w:t>
            </w:r>
          </w:p>
        </w:tc>
      </w:tr>
      <w:tr>
        <w:tc>
          <w:tcPr>
            <w:tcW w:type="dxa" w:w="1728"/>
          </w:tcPr>
          <w:p>
            <w:r>
              <w:rPr>
                <w:rFonts w:ascii="Calibri" w:hAnsi="Calibri"/>
                <w:sz w:val="22"/>
              </w:rPr>
              <w:t>Q2 2026 Reported Sales Growth</w:t>
            </w:r>
          </w:p>
        </w:tc>
        <w:tc>
          <w:tcPr>
            <w:tcW w:type="dxa" w:w="1728"/>
          </w:tcPr>
          <w:p>
            <w:r>
              <w:rPr>
                <w:rFonts w:ascii="Calibri" w:hAnsi="Calibri"/>
                <w:sz w:val="22"/>
              </w:rPr>
              <w:t>+2–4% (mid: +3%)</w:t>
            </w:r>
          </w:p>
        </w:tc>
        <w:tc>
          <w:tcPr>
            <w:tcW w:type="dxa" w:w="1728"/>
          </w:tcPr>
          <w:p>
            <w:r>
              <w:rPr>
                <w:rFonts w:ascii="Calibri" w:hAnsi="Calibri"/>
                <w:sz w:val="22"/>
              </w:rPr>
              <w:t>—</w:t>
            </w:r>
          </w:p>
        </w:tc>
        <w:tc>
          <w:tcPr>
            <w:tcW w:type="dxa" w:w="1728"/>
          </w:tcPr>
          <w:p>
            <w:r>
              <w:rPr>
                <w:rFonts w:ascii="Calibri" w:hAnsi="Calibri"/>
                <w:sz w:val="22"/>
              </w:rPr>
              <w:t>~+3.4% YoY</w:t>
            </w:r>
          </w:p>
        </w:tc>
        <w:tc>
          <w:tcPr>
            <w:tcW w:type="dxa" w:w="1728"/>
          </w:tcPr>
          <w:p>
            <w:r>
              <w:rPr>
                <w:rFonts w:ascii="Calibri" w:hAnsi="Calibri"/>
                <w:sz w:val="22"/>
              </w:rPr>
              <w:t>Unchanged; consensus at high end of range</w:t>
            </w:r>
          </w:p>
        </w:tc>
      </w:tr>
      <w:tr>
        <w:tc>
          <w:tcPr>
            <w:tcW w:type="dxa" w:w="1728"/>
          </w:tcPr>
          <w:p>
            <w:r>
              <w:rPr>
                <w:rFonts w:ascii="Calibri" w:hAnsi="Calibri"/>
                <w:sz w:val="22"/>
              </w:rPr>
              <w:t>Q2 2026 Organic Growth</w:t>
            </w:r>
          </w:p>
        </w:tc>
        <w:tc>
          <w:tcPr>
            <w:tcW w:type="dxa" w:w="1728"/>
          </w:tcPr>
          <w:p>
            <w:r>
              <w:rPr>
                <w:rFonts w:ascii="Calibri" w:hAnsi="Calibri"/>
                <w:sz w:val="22"/>
              </w:rPr>
              <w:t>0–2% (mid: +1%)</w:t>
            </w:r>
          </w:p>
        </w:tc>
        <w:tc>
          <w:tcPr>
            <w:tcW w:type="dxa" w:w="1728"/>
          </w:tcPr>
          <w:p>
            <w:r>
              <w:rPr>
                <w:rFonts w:ascii="Calibri" w:hAnsi="Calibri"/>
                <w:sz w:val="22"/>
              </w:rPr>
              <w:t>—</w:t>
            </w:r>
          </w:p>
        </w:tc>
        <w:tc>
          <w:tcPr>
            <w:tcW w:type="dxa" w:w="1728"/>
          </w:tcPr>
          <w:p>
            <w:r>
              <w:rPr>
                <w:rFonts w:ascii="Calibri" w:hAnsi="Calibri"/>
                <w:sz w:val="22"/>
              </w:rPr>
              <w:t>~+0.75%</w:t>
            </w:r>
          </w:p>
        </w:tc>
        <w:tc>
          <w:tcPr>
            <w:tcW w:type="dxa" w:w="1728"/>
          </w:tcPr>
          <w:p>
            <w:r>
              <w:rPr>
                <w:rFonts w:ascii="Calibri" w:hAnsi="Calibri"/>
                <w:sz w:val="22"/>
              </w:rPr>
              <w:t>Unchanged; consensus slightly below midpoint, reflecting pre-buy unwind risk</w:t>
            </w:r>
          </w:p>
        </w:tc>
      </w:tr>
      <w:tr>
        <w:tc>
          <w:tcPr>
            <w:tcW w:type="dxa" w:w="1728"/>
          </w:tcPr>
          <w:p>
            <w:r>
              <w:rPr>
                <w:rFonts w:ascii="Calibri" w:hAnsi="Calibri"/>
                <w:sz w:val="22"/>
              </w:rPr>
              <w:t>FY 2026 Restructuring Savings</w:t>
            </w:r>
          </w:p>
        </w:tc>
        <w:tc>
          <w:tcPr>
            <w:tcW w:type="dxa" w:w="1728"/>
          </w:tcPr>
          <w:p>
            <w:r>
              <w:rPr>
                <w:rFonts w:ascii="Calibri" w:hAnsi="Calibri"/>
                <w:sz w:val="22"/>
              </w:rPr>
              <w:t>&gt;$55M (raised from ~$50M)</w:t>
            </w:r>
          </w:p>
        </w:tc>
        <w:tc>
          <w:tcPr>
            <w:tcW w:type="dxa" w:w="1728"/>
          </w:tcPr>
          <w:p>
            <w:r>
              <w:rPr>
                <w:rFonts w:ascii="Calibri" w:hAnsi="Calibri"/>
                <w:sz w:val="22"/>
              </w:rPr>
              <w:t>—</w:t>
            </w:r>
          </w:p>
        </w:tc>
        <w:tc>
          <w:tcPr>
            <w:tcW w:type="dxa" w:w="1728"/>
          </w:tcPr>
          <w:p>
            <w:r>
              <w:rPr>
                <w:rFonts w:ascii="Calibri" w:hAnsi="Calibri"/>
                <w:sz w:val="22"/>
              </w:rPr>
              <w:t>N/A (not tracked in VA)</w:t>
            </w:r>
          </w:p>
        </w:tc>
        <w:tc>
          <w:tcPr>
            <w:tcW w:type="dxa" w:w="1728"/>
          </w:tcPr>
          <w:p>
            <w:r>
              <w:rPr>
                <w:rFonts w:ascii="Calibri" w:hAnsi="Calibri"/>
                <w:sz w:val="22"/>
              </w:rPr>
              <w:t>↑ Raised at Q1 earnings; more confident on productivity levers</w:t>
            </w:r>
          </w:p>
        </w:tc>
      </w:tr>
      <w:tr>
        <w:tc>
          <w:tcPr>
            <w:tcW w:type="dxa" w:w="1728"/>
          </w:tcPr>
          <w:p>
            <w:r>
              <w:rPr>
                <w:rFonts w:ascii="Calibri" w:hAnsi="Calibri"/>
                <w:sz w:val="22"/>
              </w:rPr>
              <w:t>FY 2026 Adj. FCF Conversion</w:t>
            </w:r>
          </w:p>
        </w:tc>
        <w:tc>
          <w:tcPr>
            <w:tcW w:type="dxa" w:w="1728"/>
          </w:tcPr>
          <w:p>
            <w:r>
              <w:rPr>
                <w:rFonts w:ascii="Calibri" w:hAnsi="Calibri"/>
                <w:sz w:val="22"/>
              </w:rPr>
              <w:t>~100%</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fixed + IT capex ~$260M</w:t>
            </w:r>
          </w:p>
        </w:tc>
      </w:tr>
      <w:tr>
        <w:tc>
          <w:tcPr>
            <w:tcW w:type="dxa" w:w="1728"/>
          </w:tcPr>
          <w:p>
            <w:r>
              <w:rPr>
                <w:rFonts w:ascii="Calibri" w:hAnsi="Calibri"/>
                <w:sz w:val="22"/>
              </w:rPr>
              <w:t>FY 2026 Net EPS Tailwind (FX + buybacks)</w:t>
            </w:r>
          </w:p>
        </w:tc>
        <w:tc>
          <w:tcPr>
            <w:tcW w:type="dxa" w:w="1728"/>
          </w:tcPr>
          <w:p>
            <w:r>
              <w:rPr>
                <w:rFonts w:ascii="Calibri" w:hAnsi="Calibri"/>
                <w:sz w:val="22"/>
              </w:rPr>
              <w:t>~$0.25 benefit</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partially offset by higher tax rate and interest expense</w:t>
            </w:r>
          </w:p>
        </w:tc>
      </w:tr>
      <w:tr>
        <w:tc>
          <w:tcPr>
            <w:tcW w:type="dxa" w:w="1728"/>
          </w:tcPr>
          <w:p>
            <w:r>
              <w:rPr>
                <w:rFonts w:ascii="Calibri" w:hAnsi="Calibri"/>
                <w:sz w:val="22"/>
              </w:rPr>
              <w:t>Intelligent Labels FY 2026 Growth</w:t>
            </w:r>
          </w:p>
        </w:tc>
        <w:tc>
          <w:tcPr>
            <w:tcW w:type="dxa" w:w="1728"/>
          </w:tcPr>
          <w:p>
            <w:r>
              <w:rPr>
                <w:rFonts w:ascii="Calibri" w:hAnsi="Calibri"/>
                <w:sz w:val="22"/>
              </w:rPr>
              <w:t>Growth to outpace 2025; H2-weighted</w:t>
            </w:r>
          </w:p>
        </w:tc>
        <w:tc>
          <w:tcPr>
            <w:tcW w:type="dxa" w:w="1728"/>
          </w:tcPr>
          <w:p>
            <w:r>
              <w:rPr>
                <w:rFonts w:ascii="Calibri" w:hAnsi="Calibri"/>
                <w:sz w:val="22"/>
              </w:rPr>
              <w:t>—</w:t>
            </w:r>
          </w:p>
        </w:tc>
        <w:tc>
          <w:tcPr>
            <w:tcW w:type="dxa" w:w="1728"/>
          </w:tcPr>
          <w:p>
            <w:r>
              <w:rPr>
                <w:rFonts w:ascii="Calibri" w:hAnsi="Calibri"/>
                <w:sz w:val="22"/>
              </w:rPr>
              <w:t>N/A (not separately tracked)</w:t>
            </w:r>
          </w:p>
        </w:tc>
        <w:tc>
          <w:tcPr>
            <w:tcW w:type="dxa" w:w="1728"/>
          </w:tcPr>
          <w:p>
            <w:r>
              <w:rPr>
                <w:rFonts w:ascii="Calibri" w:hAnsi="Calibri"/>
                <w:sz w:val="22"/>
              </w:rPr>
              <w:t>Unchanged; Walmart food rollout ramp in H2 is key catalyst</w:t>
            </w:r>
          </w:p>
        </w:tc>
      </w:tr>
    </w:tbl>
    <w:p>
      <w:r>
        <w:rPr>
          <w:rFonts w:ascii="Calibri" w:hAnsi="Calibri"/>
          <w:i/>
          <w:color w:val="525866"/>
          <w:sz w:val="22"/>
        </w:rPr>
        <w:t>Source: AVY Q1 2026 Earnings Call Transcript and Earnings Presentation (April 28, 2026). No post-earnings guidance revisions identified.</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remarkably stable since the Q1 print — Q2 EPS consensus is essentially flat vs. the post-print baseline, and FY2026 EPS has barely moved. </w:t>
      </w:r>
      <w:r>
        <w:rPr>
          <w:rFonts w:ascii="Calibri" w:hAnsi="Calibri"/>
          <w:b/>
          <w:color w:val="525866"/>
          <w:sz w:val="22"/>
        </w:rPr>
        <w:t>The lack of upward revision despite a Q1 beat signals the street is not giving AVY credit for incremental upside</w:t>
      </w:r>
      <w:r>
        <w:rPr>
          <w:rFonts w:ascii="Calibri" w:hAnsi="Calibri"/>
          <w:color w:val="525866"/>
          <w:sz w:val="22"/>
        </w:rPr>
        <w:t>, likely because the pre-buy unwind and raw material inflation create genuine Q2 uncertainty. If AVY delivers at or above the guidance midpoint, there is room for estimates to move higher.</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Print (as of May 5, 2026)</w:t>
            </w:r>
          </w:p>
        </w:tc>
        <w:tc>
          <w:tcPr>
            <w:tcW w:type="dxa" w:w="1080"/>
            <w:shd w:val="clear" w:color="auto" w:fill="3B4259"/>
          </w:tcPr>
          <w:p>
            <w:r>
              <w:rPr>
                <w:rFonts w:ascii="Calibri" w:hAnsi="Calibri"/>
                <w:b/>
                <w:color w:val="FFFFFF"/>
                <w:sz w:val="22"/>
              </w:rPr>
              <w:t>Current Consensus (Jul 29,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EPS — Q2 2026</w:t>
            </w:r>
          </w:p>
        </w:tc>
        <w:tc>
          <w:tcPr>
            <w:tcW w:type="dxa" w:w="1080"/>
          </w:tcPr>
          <w:p>
            <w:r>
              <w:rPr>
                <w:rFonts w:ascii="Calibri" w:hAnsi="Calibri"/>
                <w:sz w:val="22"/>
              </w:rPr>
              <w:t>$2.46</w:t>
            </w:r>
          </w:p>
        </w:tc>
        <w:tc>
          <w:tcPr>
            <w:tcW w:type="dxa" w:w="1080"/>
          </w:tcPr>
          <w:p>
            <w:r>
              <w:rPr>
                <w:rFonts w:ascii="Calibri" w:hAnsi="Calibri"/>
                <w:sz w:val="22"/>
              </w:rPr>
              <w:t>$2.47</w:t>
            </w:r>
          </w:p>
        </w:tc>
        <w:tc>
          <w:tcPr>
            <w:tcW w:type="dxa" w:w="1080"/>
          </w:tcPr>
          <w:p>
            <w:r>
              <w:rPr>
                <w:rFonts w:ascii="Calibri" w:hAnsi="Calibri"/>
                <w:sz w:val="22"/>
              </w:rPr>
              <w:t>+0.4%</w:t>
            </w:r>
          </w:p>
        </w:tc>
        <w:tc>
          <w:tcPr>
            <w:tcW w:type="dxa" w:w="1080"/>
          </w:tcPr>
          <w:p>
            <w:r>
              <w:rPr>
                <w:rFonts w:ascii="Calibri" w:hAnsi="Calibri"/>
                <w:sz w:val="22"/>
              </w:rPr>
              <w:t>$2.43–$2.53 (mid: $2.48)</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−0.4% vs. mid</w:t>
            </w:r>
          </w:p>
        </w:tc>
      </w:tr>
      <w:tr>
        <w:tc>
          <w:tcPr>
            <w:tcW w:type="dxa" w:w="1080"/>
          </w:tcPr>
          <w:p>
            <w:r>
              <w:rPr>
                <w:rFonts w:ascii="Calibri" w:hAnsi="Calibri"/>
                <w:sz w:val="22"/>
              </w:rPr>
              <w:t>Net Revenue — Q2 2026</w:t>
            </w:r>
          </w:p>
        </w:tc>
        <w:tc>
          <w:tcPr>
            <w:tcW w:type="dxa" w:w="1080"/>
          </w:tcPr>
          <w:p>
            <w:r>
              <w:rPr>
                <w:rFonts w:ascii="Calibri" w:hAnsi="Calibri"/>
                <w:sz w:val="22"/>
              </w:rPr>
              <w:t>$2,292.0M</w:t>
            </w:r>
          </w:p>
        </w:tc>
        <w:tc>
          <w:tcPr>
            <w:tcW w:type="dxa" w:w="1080"/>
          </w:tcPr>
          <w:p>
            <w:r>
              <w:rPr>
                <w:rFonts w:ascii="Calibri" w:hAnsi="Calibri"/>
                <w:sz w:val="22"/>
              </w:rPr>
              <w:t>$2,295.1M</w:t>
            </w:r>
          </w:p>
        </w:tc>
        <w:tc>
          <w:tcPr>
            <w:tcW w:type="dxa" w:w="1080"/>
          </w:tcPr>
          <w:p>
            <w:r>
              <w:rPr>
                <w:rFonts w:ascii="Calibri" w:hAnsi="Calibri"/>
                <w:sz w:val="22"/>
              </w:rPr>
              <w:t>+0.1%</w:t>
            </w:r>
          </w:p>
        </w:tc>
        <w:tc>
          <w:tcPr>
            <w:tcW w:type="dxa" w:w="1080"/>
          </w:tcPr>
          <w:p>
            <w:r>
              <w:rPr>
                <w:rFonts w:ascii="Calibri" w:hAnsi="Calibri"/>
                <w:sz w:val="22"/>
              </w:rPr>
              <w:t>+2–4% reported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−0.1% vs. mid</w:t>
            </w:r>
          </w:p>
        </w:tc>
      </w:tr>
      <w:tr>
        <w:tc>
          <w:tcPr>
            <w:tcW w:type="dxa" w:w="1080"/>
          </w:tcPr>
          <w:p>
            <w:r>
              <w:rPr>
                <w:rFonts w:ascii="Calibri" w:hAnsi="Calibri"/>
                <w:sz w:val="22"/>
              </w:rPr>
              <w:t>Organic Growth — Q2 2026</w:t>
            </w:r>
          </w:p>
        </w:tc>
        <w:tc>
          <w:tcPr>
            <w:tcW w:type="dxa" w:w="1080"/>
          </w:tcPr>
          <w:p>
            <w:r>
              <w:rPr>
                <w:rFonts w:ascii="Calibri" w:hAnsi="Calibri"/>
                <w:sz w:val="22"/>
              </w:rPr>
              <w:t>+0.78%</w:t>
            </w:r>
          </w:p>
        </w:tc>
        <w:tc>
          <w:tcPr>
            <w:tcW w:type="dxa" w:w="1080"/>
          </w:tcPr>
          <w:p>
            <w:r>
              <w:rPr>
                <w:rFonts w:ascii="Calibri" w:hAnsi="Calibri"/>
                <w:sz w:val="22"/>
              </w:rPr>
              <w:t>+0.75%</w:t>
            </w:r>
          </w:p>
        </w:tc>
        <w:tc>
          <w:tcPr>
            <w:tcW w:type="dxa" w:w="1080"/>
          </w:tcPr>
          <w:p>
            <w:r>
              <w:rPr>
                <w:rFonts w:ascii="Calibri" w:hAnsi="Calibri"/>
                <w:sz w:val="22"/>
              </w:rPr>
              <w:t>−0.03 pp</w:t>
            </w:r>
          </w:p>
        </w:tc>
        <w:tc>
          <w:tcPr>
            <w:tcW w:type="dxa" w:w="1080"/>
          </w:tcPr>
          <w:p>
            <w:r>
              <w:rPr>
                <w:rFonts w:ascii="Calibri" w:hAnsi="Calibri"/>
                <w:sz w:val="22"/>
              </w:rPr>
              <w:t>0–2% (mid: +1%)</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−25 bps vs. mid</w:t>
            </w:r>
          </w:p>
        </w:tc>
      </w:tr>
      <w:tr>
        <w:tc>
          <w:tcPr>
            <w:tcW w:type="dxa" w:w="1080"/>
          </w:tcPr>
          <w:p>
            <w:r>
              <w:rPr>
                <w:rFonts w:ascii="Calibri" w:hAnsi="Calibri"/>
                <w:sz w:val="22"/>
              </w:rPr>
              <w:t>Adj. EBITDA — Q2 2026</w:t>
            </w:r>
          </w:p>
        </w:tc>
        <w:tc>
          <w:tcPr>
            <w:tcW w:type="dxa" w:w="1080"/>
          </w:tcPr>
          <w:p>
            <w:r>
              <w:rPr>
                <w:rFonts w:ascii="Calibri" w:hAnsi="Calibri"/>
                <w:sz w:val="22"/>
              </w:rPr>
              <w:t>$376.4M</w:t>
            </w:r>
          </w:p>
        </w:tc>
        <w:tc>
          <w:tcPr>
            <w:tcW w:type="dxa" w:w="1080"/>
          </w:tcPr>
          <w:p>
            <w:r>
              <w:rPr>
                <w:rFonts w:ascii="Calibri" w:hAnsi="Calibri"/>
                <w:sz w:val="22"/>
              </w:rPr>
              <w:t>$376.9M</w:t>
            </w:r>
          </w:p>
        </w:tc>
        <w:tc>
          <w:tcPr>
            <w:tcW w:type="dxa" w:w="1080"/>
          </w:tcPr>
          <w:p>
            <w:r>
              <w:rPr>
                <w:rFonts w:ascii="Calibri" w:hAnsi="Calibri"/>
                <w:sz w:val="22"/>
              </w:rPr>
              <w:t>+0.1%</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Adj. EPS — FY 2026</w:t>
            </w:r>
          </w:p>
        </w:tc>
        <w:tc>
          <w:tcPr>
            <w:tcW w:type="dxa" w:w="1080"/>
          </w:tcPr>
          <w:p>
            <w:r>
              <w:rPr>
                <w:rFonts w:ascii="Calibri" w:hAnsi="Calibri"/>
                <w:sz w:val="22"/>
              </w:rPr>
              <w:t>$10.00</w:t>
            </w:r>
          </w:p>
        </w:tc>
        <w:tc>
          <w:tcPr>
            <w:tcW w:type="dxa" w:w="1080"/>
          </w:tcPr>
          <w:p>
            <w:r>
              <w:rPr>
                <w:rFonts w:ascii="Calibri" w:hAnsi="Calibri"/>
                <w:sz w:val="22"/>
              </w:rPr>
              <w:t>$10.01</w:t>
            </w:r>
          </w:p>
        </w:tc>
        <w:tc>
          <w:tcPr>
            <w:tcW w:type="dxa" w:w="1080"/>
          </w:tcPr>
          <w:p>
            <w:r>
              <w:rPr>
                <w:rFonts w:ascii="Calibri" w:hAnsi="Calibri"/>
                <w:sz w:val="22"/>
              </w:rPr>
              <w:t>+0.1%</w:t>
            </w:r>
          </w:p>
        </w:tc>
        <w:tc>
          <w:tcPr>
            <w:tcW w:type="dxa" w:w="1080"/>
          </w:tcPr>
          <w:p>
            <w:r>
              <w:rPr>
                <w:rFonts w:ascii="Calibri" w:hAnsi="Calibri"/>
                <w:sz w:val="22"/>
              </w:rPr>
              <w:t>Sequential growth through year (no explicit FY EPS range)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Net Revenue — FY 2026</w:t>
            </w:r>
          </w:p>
        </w:tc>
        <w:tc>
          <w:tcPr>
            <w:tcW w:type="dxa" w:w="1080"/>
          </w:tcPr>
          <w:p>
            <w:r>
              <w:rPr>
                <w:rFonts w:ascii="Calibri" w:hAnsi="Calibri"/>
                <w:sz w:val="22"/>
              </w:rPr>
              <w:t>$9,274.9M</w:t>
            </w:r>
          </w:p>
        </w:tc>
        <w:tc>
          <w:tcPr>
            <w:tcW w:type="dxa" w:w="1080"/>
          </w:tcPr>
          <w:p>
            <w:r>
              <w:rPr>
                <w:rFonts w:ascii="Calibri" w:hAnsi="Calibri"/>
                <w:sz w:val="22"/>
              </w:rPr>
              <w:t>$9,261.3M</w:t>
            </w:r>
          </w:p>
        </w:tc>
        <w:tc>
          <w:tcPr>
            <w:tcW w:type="dxa" w:w="1080"/>
          </w:tcPr>
          <w:p>
            <w:r>
              <w:rPr>
                <w:rFonts w:ascii="Calibri" w:hAnsi="Calibri"/>
                <w:sz w:val="22"/>
              </w:rPr>
              <w:t>−0.1%</w:t>
            </w:r>
          </w:p>
        </w:tc>
        <w:tc>
          <w:tcPr>
            <w:tcW w:type="dxa" w:w="1080"/>
          </w:tcPr>
          <w:p>
            <w:r>
              <w:rPr>
                <w:rFonts w:ascii="Calibri" w:hAnsi="Calibri"/>
                <w:sz w:val="22"/>
              </w:rPr>
              <w:t>N/A (no explicit FY revenue guidance)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i/>
          <w:color w:val="525866"/>
          <w:sz w:val="22"/>
        </w:rPr>
        <w:t>Source: Visible Alpha Consensus and Actuals Data. Post-print baseline as of May 5, 2026 (5 trading days after April 28 earnings). Current consensus as of July 29, 2026.</w:t>
      </w:r>
    </w:p>
    <w:p>
      <w:r>
        <w:rPr>
          <w:rFonts w:ascii="Calibri" w:hAnsi="Calibri"/>
          <w:color w:val="525866"/>
          <w:sz w:val="22"/>
        </w:rPr>
        <w:t>Estimates have barely moved since the Q1 print, with Q2 EPS consensus up just $0.01 and FY2026 EPS essentially flat. This stability reflects the market’s wait-and-see posture on the pre-buy unwind and raw material inflation trajectory — a clean Q2 delivery at or above the guidance midpoint could be the catalyst for a more meaningful upward revision cycle heading into H2.</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AVY has underperformed both XLB (Materials ETF) and the S&amp;P 500 since the Q1 print, driven almost entirely by </w:t>
      </w:r>
      <w:r>
        <w:rPr>
          <w:rFonts w:ascii="Calibri" w:hAnsi="Calibri"/>
          <w:b/>
          <w:color w:val="525866"/>
          <w:sz w:val="22"/>
        </w:rPr>
        <w:t>multiple compression</w:t>
      </w:r>
      <w:r>
        <w:rPr>
          <w:rFonts w:ascii="Calibri" w:hAnsi="Calibri"/>
          <w:color w:val="525866"/>
          <w:sz w:val="22"/>
        </w:rPr>
        <w:t xml:space="preserve"> (NTM P/E contracted from ~18x to ~16x, a ~12% de-rating over 6 months) rather than estimate cuts — suggesting the market is discounting the quality of the earnings stream, not the earnings themselves. At 15.9x NTM P/E, the stock is no longer expensive and a clean Q2 print could catalyze a re-rating.</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Metric</w:t>
            </w:r>
          </w:p>
        </w:tc>
        <w:tc>
          <w:tcPr>
            <w:tcW w:type="dxa" w:w="2160"/>
            <w:shd w:val="clear" w:color="auto" w:fill="3B4259"/>
          </w:tcPr>
          <w:p>
            <w:r>
              <w:rPr>
                <w:rFonts w:ascii="Calibri" w:hAnsi="Calibri"/>
                <w:b/>
                <w:color w:val="FFFFFF"/>
                <w:sz w:val="22"/>
              </w:rPr>
              <w:t>AVY</w:t>
            </w:r>
          </w:p>
        </w:tc>
        <w:tc>
          <w:tcPr>
            <w:tcW w:type="dxa" w:w="2160"/>
            <w:shd w:val="clear" w:color="auto" w:fill="3B4259"/>
          </w:tcPr>
          <w:p>
            <w:r>
              <w:rPr>
                <w:rFonts w:ascii="Calibri" w:hAnsi="Calibri"/>
                <w:b/>
                <w:color w:val="FFFFFF"/>
                <w:sz w:val="22"/>
              </w:rPr>
              <w:t>XLB (Materials ETF)</w:t>
            </w:r>
          </w:p>
        </w:tc>
        <w:tc>
          <w:tcPr>
            <w:tcW w:type="dxa" w:w="2160"/>
            <w:shd w:val="clear" w:color="auto" w:fill="3B4259"/>
          </w:tcPr>
          <w:p>
            <w:r>
              <w:rPr>
                <w:rFonts w:ascii="Calibri" w:hAnsi="Calibri"/>
                <w:b/>
                <w:color w:val="FFFFFF"/>
                <w:sz w:val="22"/>
              </w:rPr>
              <w:t>SPY (S&amp;P 500)</w:t>
            </w:r>
          </w:p>
        </w:tc>
      </w:tr>
      <w:tr>
        <w:tc>
          <w:tcPr>
            <w:tcW w:type="dxa" w:w="2160"/>
          </w:tcPr>
          <w:p>
            <w:r>
              <w:rPr>
                <w:rFonts w:ascii="Calibri" w:hAnsi="Calibri"/>
                <w:sz w:val="22"/>
              </w:rPr>
              <w:t>Price at Last Earnings (Apr 28, 2026)</w:t>
            </w:r>
          </w:p>
        </w:tc>
        <w:tc>
          <w:tcPr>
            <w:tcW w:type="dxa" w:w="2160"/>
          </w:tcPr>
          <w:p>
            <w:r>
              <w:rPr>
                <w:rFonts w:ascii="Calibri" w:hAnsi="Calibri"/>
                <w:sz w:val="22"/>
              </w:rPr>
              <w:t>$166.49</w:t>
            </w:r>
          </w:p>
        </w:tc>
        <w:tc>
          <w:tcPr>
            <w:tcW w:type="dxa" w:w="2160"/>
          </w:tcPr>
          <w:p>
            <w:r>
              <w:rPr>
                <w:rFonts w:ascii="Calibri" w:hAnsi="Calibri"/>
                <w:sz w:val="22"/>
              </w:rPr>
              <w:t>$51.40 (indexed: 100)</w:t>
            </w:r>
          </w:p>
        </w:tc>
        <w:tc>
          <w:tcPr>
            <w:tcW w:type="dxa" w:w="2160"/>
          </w:tcPr>
          <w:p>
            <w:r>
              <w:rPr>
                <w:rFonts w:ascii="Calibri" w:hAnsi="Calibri"/>
                <w:sz w:val="22"/>
              </w:rPr>
              <w:t>$711.69 (indexed: 100)</w:t>
            </w:r>
          </w:p>
        </w:tc>
      </w:tr>
      <w:tr>
        <w:tc>
          <w:tcPr>
            <w:tcW w:type="dxa" w:w="2160"/>
          </w:tcPr>
          <w:p>
            <w:r>
              <w:rPr>
                <w:rFonts w:ascii="Calibri" w:hAnsi="Calibri"/>
                <w:sz w:val="22"/>
              </w:rPr>
              <w:t>Price as of Jul 28, 2026</w:t>
            </w:r>
          </w:p>
        </w:tc>
        <w:tc>
          <w:tcPr>
            <w:tcW w:type="dxa" w:w="2160"/>
          </w:tcPr>
          <w:p>
            <w:r>
              <w:rPr>
                <w:rFonts w:ascii="Calibri" w:hAnsi="Calibri"/>
                <w:sz w:val="22"/>
              </w:rPr>
              <w:t>$169.13</w:t>
            </w:r>
          </w:p>
        </w:tc>
        <w:tc>
          <w:tcPr>
            <w:tcW w:type="dxa" w:w="2160"/>
          </w:tcPr>
          <w:p>
            <w:r>
              <w:rPr>
                <w:rFonts w:ascii="Calibri" w:hAnsi="Calibri"/>
                <w:sz w:val="22"/>
              </w:rPr>
              <w:t>$52.34</w:t>
            </w:r>
          </w:p>
        </w:tc>
        <w:tc>
          <w:tcPr>
            <w:tcW w:type="dxa" w:w="2160"/>
          </w:tcPr>
          <w:p>
            <w:r>
              <w:rPr>
                <w:rFonts w:ascii="Calibri" w:hAnsi="Calibri"/>
                <w:sz w:val="22"/>
              </w:rPr>
              <w:t>$740.86</w:t>
            </w:r>
          </w:p>
        </w:tc>
      </w:tr>
      <w:tr>
        <w:tc>
          <w:tcPr>
            <w:tcW w:type="dxa" w:w="2160"/>
          </w:tcPr>
          <w:p>
            <w:r>
              <w:rPr>
                <w:rFonts w:ascii="Calibri" w:hAnsi="Calibri"/>
                <w:sz w:val="22"/>
              </w:rPr>
              <w:t>Return Since Last Earnings</w:t>
            </w:r>
          </w:p>
        </w:tc>
        <w:tc>
          <w:tcPr>
            <w:tcW w:type="dxa" w:w="2160"/>
          </w:tcPr>
          <w:p>
            <w:r>
              <w:rPr>
                <w:rFonts w:ascii="Calibri" w:hAnsi="Calibri"/>
                <w:sz w:val="22"/>
              </w:rPr>
              <w:t>+1.6%</w:t>
            </w:r>
          </w:p>
        </w:tc>
        <w:tc>
          <w:tcPr>
            <w:tcW w:type="dxa" w:w="2160"/>
          </w:tcPr>
          <w:p>
            <w:r>
              <w:rPr>
                <w:rFonts w:ascii="Calibri" w:hAnsi="Calibri"/>
                <w:sz w:val="22"/>
              </w:rPr>
              <w:t>+1.8%</w:t>
            </w:r>
          </w:p>
        </w:tc>
        <w:tc>
          <w:tcPr>
            <w:tcW w:type="dxa" w:w="2160"/>
          </w:tcPr>
          <w:p>
            <w:r>
              <w:rPr>
                <w:rFonts w:ascii="Calibri" w:hAnsi="Calibri"/>
                <w:sz w:val="22"/>
              </w:rPr>
              <w:t>+4.1%</w:t>
            </w:r>
          </w:p>
        </w:tc>
      </w:tr>
      <w:tr>
        <w:tc>
          <w:tcPr>
            <w:tcW w:type="dxa" w:w="2160"/>
          </w:tcPr>
          <w:p>
            <w:r>
              <w:rPr>
                <w:rFonts w:ascii="Calibri" w:hAnsi="Calibri"/>
                <w:sz w:val="22"/>
              </w:rPr>
              <w:t>NTM P/E (Current)</w:t>
            </w:r>
          </w:p>
        </w:tc>
        <w:tc>
          <w:tcPr>
            <w:tcW w:type="dxa" w:w="2160"/>
          </w:tcPr>
          <w:p>
            <w:r>
              <w:rPr>
                <w:rFonts w:ascii="Calibri" w:hAnsi="Calibri"/>
                <w:sz w:val="22"/>
              </w:rPr>
              <w:t>15.9x</w:t>
            </w:r>
          </w:p>
        </w:tc>
        <w:tc>
          <w:tcPr>
            <w:tcW w:type="dxa" w:w="2160"/>
          </w:tcPr>
          <w:p>
            <w:r>
              <w:rPr>
                <w:rFonts w:ascii="Calibri" w:hAnsi="Calibri"/>
                <w:sz w:val="22"/>
              </w:rPr>
              <w:t>N/A</w:t>
            </w:r>
          </w:p>
        </w:tc>
        <w:tc>
          <w:tcPr>
            <w:tcW w:type="dxa" w:w="2160"/>
          </w:tcPr>
          <w:p>
            <w:r>
              <w:rPr>
                <w:rFonts w:ascii="Calibri" w:hAnsi="Calibri"/>
                <w:sz w:val="22"/>
              </w:rPr>
              <w:t>N/A</w:t>
            </w:r>
          </w:p>
        </w:tc>
      </w:tr>
      <w:tr>
        <w:tc>
          <w:tcPr>
            <w:tcW w:type="dxa" w:w="2160"/>
          </w:tcPr>
          <w:p>
            <w:r>
              <w:rPr>
                <w:rFonts w:ascii="Calibri" w:hAnsi="Calibri"/>
                <w:sz w:val="22"/>
              </w:rPr>
              <w:t>NTM EV/EBITDA (Current)</w:t>
            </w:r>
          </w:p>
        </w:tc>
        <w:tc>
          <w:tcPr>
            <w:tcW w:type="dxa" w:w="2160"/>
          </w:tcPr>
          <w:p>
            <w:r>
              <w:rPr>
                <w:rFonts w:ascii="Calibri" w:hAnsi="Calibri"/>
                <w:sz w:val="22"/>
              </w:rPr>
              <w:t>10.5x</w:t>
            </w:r>
          </w:p>
        </w:tc>
        <w:tc>
          <w:tcPr>
            <w:tcW w:type="dxa" w:w="2160"/>
          </w:tcPr>
          <w:p>
            <w:r>
              <w:rPr>
                <w:rFonts w:ascii="Calibri" w:hAnsi="Calibri"/>
                <w:sz w:val="22"/>
              </w:rPr>
              <w:t>N/A</w:t>
            </w:r>
          </w:p>
        </w:tc>
        <w:tc>
          <w:tcPr>
            <w:tcW w:type="dxa" w:w="2160"/>
          </w:tcPr>
          <w:p>
            <w:r>
              <w:rPr>
                <w:rFonts w:ascii="Calibri" w:hAnsi="Calibri"/>
                <w:sz w:val="22"/>
              </w:rPr>
              <w:t>N/A</w:t>
            </w:r>
          </w:p>
        </w:tc>
      </w:tr>
      <w:tr>
        <w:tc>
          <w:tcPr>
            <w:tcW w:type="dxa" w:w="2160"/>
          </w:tcPr>
          <w:p>
            <w:r>
              <w:rPr>
                <w:rFonts w:ascii="Calibri" w:hAnsi="Calibri"/>
                <w:sz w:val="22"/>
              </w:rPr>
              <w:t>6-Month Price Change</w:t>
            </w:r>
          </w:p>
        </w:tc>
        <w:tc>
          <w:tcPr>
            <w:tcW w:type="dxa" w:w="2160"/>
          </w:tcPr>
          <w:p>
            <w:r>
              <w:rPr>
                <w:rFonts w:ascii="Calibri" w:hAnsi="Calibri"/>
                <w:sz w:val="22"/>
              </w:rPr>
              <w:t>−10.6%</w:t>
            </w:r>
          </w:p>
        </w:tc>
        <w:tc>
          <w:tcPr>
            <w:tcW w:type="dxa" w:w="2160"/>
          </w:tcPr>
          <w:p>
            <w:r>
              <w:rPr>
                <w:rFonts w:ascii="Calibri" w:hAnsi="Calibri"/>
                <w:sz w:val="22"/>
              </w:rPr>
              <w:t>N/A</w:t>
            </w:r>
          </w:p>
        </w:tc>
        <w:tc>
          <w:tcPr>
            <w:tcW w:type="dxa" w:w="2160"/>
          </w:tcPr>
          <w:p>
            <w:r>
              <w:rPr>
                <w:rFonts w:ascii="Calibri" w:hAnsi="Calibri"/>
                <w:sz w:val="22"/>
              </w:rPr>
              <w:t>N/A</w:t>
            </w:r>
          </w:p>
        </w:tc>
      </w:tr>
      <w:tr>
        <w:tc>
          <w:tcPr>
            <w:tcW w:type="dxa" w:w="2160"/>
          </w:tcPr>
          <w:p>
            <w:r>
              <w:rPr>
                <w:rFonts w:ascii="Calibri" w:hAnsi="Calibri"/>
                <w:sz w:val="22"/>
              </w:rPr>
              <w:t>6-Month NTM EV/EBITDA Change</w:t>
            </w:r>
          </w:p>
        </w:tc>
        <w:tc>
          <w:tcPr>
            <w:tcW w:type="dxa" w:w="2160"/>
          </w:tcPr>
          <w:p>
            <w:r>
              <w:rPr>
                <w:rFonts w:ascii="Calibri" w:hAnsi="Calibri"/>
                <w:sz w:val="22"/>
              </w:rPr>
              <w:t>−8.4% (11.5x → 10.5x)</w:t>
            </w:r>
          </w:p>
        </w:tc>
        <w:tc>
          <w:tcPr>
            <w:tcW w:type="dxa" w:w="2160"/>
          </w:tcPr>
          <w:p>
            <w:r>
              <w:rPr>
                <w:rFonts w:ascii="Calibri" w:hAnsi="Calibri"/>
                <w:sz w:val="22"/>
              </w:rPr>
              <w:t>N/A</w:t>
            </w:r>
          </w:p>
        </w:tc>
        <w:tc>
          <w:tcPr>
            <w:tcW w:type="dxa" w:w="2160"/>
          </w:tcPr>
          <w:p>
            <w:r>
              <w:rPr>
                <w:rFonts w:ascii="Calibri" w:hAnsi="Calibri"/>
                <w:sz w:val="22"/>
              </w:rPr>
              <w:t>N/A</w:t>
            </w:r>
          </w:p>
        </w:tc>
      </w:tr>
    </w:tbl>
    <w:p>
      <w:r>
        <w:rPr>
          <w:rFonts w:ascii="Calibri" w:hAnsi="Calibri"/>
          <w:i/>
          <w:color w:val="525866"/>
          <w:sz w:val="22"/>
        </w:rPr>
        <w:t>Source: Stock Price Data (Yahoo Finance); Valuation multiples from Implied Stock Performance Decomposition.</w:t>
      </w:r>
    </w:p>
    <w:p>
      <w:r>
        <w:rPr>
          <w:rFonts w:ascii="Calibri" w:hAnsi="Calibri"/>
          <w:b/>
          <w:color w:val="525866"/>
          <w:sz w:val="22"/>
        </w:rPr>
        <w:t>Indexed Performance Since Last Earnings (Apr 28, 2026 = 100):</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AVY (Indexed)</w:t>
            </w:r>
          </w:p>
        </w:tc>
        <w:tc>
          <w:tcPr>
            <w:tcW w:type="dxa" w:w="2160"/>
            <w:shd w:val="clear" w:color="auto" w:fill="3B4259"/>
          </w:tcPr>
          <w:p>
            <w:r>
              <w:rPr>
                <w:rFonts w:ascii="Calibri" w:hAnsi="Calibri"/>
                <w:b/>
                <w:color w:val="FFFFFF"/>
                <w:sz w:val="22"/>
              </w:rPr>
              <w:t>XLB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Apr 28, 2026 (Earnings Day)</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May 15, 2026</w:t>
            </w:r>
          </w:p>
        </w:tc>
        <w:tc>
          <w:tcPr>
            <w:tcW w:type="dxa" w:w="2160"/>
          </w:tcPr>
          <w:p>
            <w:r>
              <w:rPr>
                <w:rFonts w:ascii="Calibri" w:hAnsi="Calibri"/>
                <w:sz w:val="22"/>
              </w:rPr>
              <w:t>93.8</w:t>
            </w:r>
          </w:p>
        </w:tc>
        <w:tc>
          <w:tcPr>
            <w:tcW w:type="dxa" w:w="2160"/>
          </w:tcPr>
          <w:p>
            <w:r>
              <w:rPr>
                <w:rFonts w:ascii="Calibri" w:hAnsi="Calibri"/>
                <w:sz w:val="22"/>
              </w:rPr>
              <w:t>97.9</w:t>
            </w:r>
          </w:p>
        </w:tc>
        <w:tc>
          <w:tcPr>
            <w:tcW w:type="dxa" w:w="2160"/>
          </w:tcPr>
          <w:p>
            <w:r>
              <w:rPr>
                <w:rFonts w:ascii="Calibri" w:hAnsi="Calibri"/>
                <w:sz w:val="22"/>
              </w:rPr>
              <w:t>103.9</w:t>
            </w:r>
          </w:p>
        </w:tc>
      </w:tr>
      <w:tr>
        <w:tc>
          <w:tcPr>
            <w:tcW w:type="dxa" w:w="2160"/>
          </w:tcPr>
          <w:p>
            <w:r>
              <w:rPr>
                <w:rFonts w:ascii="Calibri" w:hAnsi="Calibri"/>
                <w:sz w:val="22"/>
              </w:rPr>
              <w:t>Jun 5, 2026</w:t>
            </w:r>
          </w:p>
        </w:tc>
        <w:tc>
          <w:tcPr>
            <w:tcW w:type="dxa" w:w="2160"/>
          </w:tcPr>
          <w:p>
            <w:r>
              <w:rPr>
                <w:rFonts w:ascii="Calibri" w:hAnsi="Calibri"/>
                <w:sz w:val="22"/>
              </w:rPr>
              <w:t>93.2</w:t>
            </w:r>
          </w:p>
        </w:tc>
        <w:tc>
          <w:tcPr>
            <w:tcW w:type="dxa" w:w="2160"/>
          </w:tcPr>
          <w:p>
            <w:r>
              <w:rPr>
                <w:rFonts w:ascii="Calibri" w:hAnsi="Calibri"/>
                <w:sz w:val="22"/>
              </w:rPr>
              <w:t>98.5</w:t>
            </w:r>
          </w:p>
        </w:tc>
        <w:tc>
          <w:tcPr>
            <w:tcW w:type="dxa" w:w="2160"/>
          </w:tcPr>
          <w:p>
            <w:r>
              <w:rPr>
                <w:rFonts w:ascii="Calibri" w:hAnsi="Calibri"/>
                <w:sz w:val="22"/>
              </w:rPr>
              <w:t>103.6</w:t>
            </w:r>
          </w:p>
        </w:tc>
      </w:tr>
      <w:tr>
        <w:tc>
          <w:tcPr>
            <w:tcW w:type="dxa" w:w="2160"/>
          </w:tcPr>
          <w:p>
            <w:r>
              <w:rPr>
                <w:rFonts w:ascii="Calibri" w:hAnsi="Calibri"/>
                <w:sz w:val="22"/>
              </w:rPr>
              <w:t>Jun 30, 2026</w:t>
            </w:r>
          </w:p>
        </w:tc>
        <w:tc>
          <w:tcPr>
            <w:tcW w:type="dxa" w:w="2160"/>
          </w:tcPr>
          <w:p>
            <w:r>
              <w:rPr>
                <w:rFonts w:ascii="Calibri" w:hAnsi="Calibri"/>
                <w:sz w:val="22"/>
              </w:rPr>
              <w:t>97.5</w:t>
            </w:r>
          </w:p>
        </w:tc>
        <w:tc>
          <w:tcPr>
            <w:tcW w:type="dxa" w:w="2160"/>
          </w:tcPr>
          <w:p>
            <w:r>
              <w:rPr>
                <w:rFonts w:ascii="Calibri" w:hAnsi="Calibri"/>
                <w:sz w:val="22"/>
              </w:rPr>
              <w:t>98.9</w:t>
            </w:r>
          </w:p>
        </w:tc>
        <w:tc>
          <w:tcPr>
            <w:tcW w:type="dxa" w:w="2160"/>
          </w:tcPr>
          <w:p>
            <w:r>
              <w:rPr>
                <w:rFonts w:ascii="Calibri" w:hAnsi="Calibri"/>
                <w:sz w:val="22"/>
              </w:rPr>
              <w:t>104.9</w:t>
            </w:r>
          </w:p>
        </w:tc>
      </w:tr>
      <w:tr>
        <w:tc>
          <w:tcPr>
            <w:tcW w:type="dxa" w:w="2160"/>
          </w:tcPr>
          <w:p>
            <w:r>
              <w:rPr>
                <w:rFonts w:ascii="Calibri" w:hAnsi="Calibri"/>
                <w:sz w:val="22"/>
              </w:rPr>
              <w:t>Jul 8, 2026</w:t>
            </w:r>
          </w:p>
        </w:tc>
        <w:tc>
          <w:tcPr>
            <w:tcW w:type="dxa" w:w="2160"/>
          </w:tcPr>
          <w:p>
            <w:r>
              <w:rPr>
                <w:rFonts w:ascii="Calibri" w:hAnsi="Calibri"/>
                <w:sz w:val="22"/>
              </w:rPr>
              <w:t>94.9</w:t>
            </w:r>
          </w:p>
        </w:tc>
        <w:tc>
          <w:tcPr>
            <w:tcW w:type="dxa" w:w="2160"/>
          </w:tcPr>
          <w:p>
            <w:r>
              <w:rPr>
                <w:rFonts w:ascii="Calibri" w:hAnsi="Calibri"/>
                <w:sz w:val="22"/>
              </w:rPr>
              <w:t>97.6</w:t>
            </w:r>
          </w:p>
        </w:tc>
        <w:tc>
          <w:tcPr>
            <w:tcW w:type="dxa" w:w="2160"/>
          </w:tcPr>
          <w:p>
            <w:r>
              <w:rPr>
                <w:rFonts w:ascii="Calibri" w:hAnsi="Calibri"/>
                <w:sz w:val="22"/>
              </w:rPr>
              <w:t>104.7</w:t>
            </w:r>
          </w:p>
        </w:tc>
      </w:tr>
      <w:tr>
        <w:tc>
          <w:tcPr>
            <w:tcW w:type="dxa" w:w="2160"/>
          </w:tcPr>
          <w:p>
            <w:r>
              <w:rPr>
                <w:rFonts w:ascii="Calibri" w:hAnsi="Calibri"/>
                <w:sz w:val="22"/>
              </w:rPr>
              <w:t>Jul 28, 2026</w:t>
            </w:r>
          </w:p>
        </w:tc>
        <w:tc>
          <w:tcPr>
            <w:tcW w:type="dxa" w:w="2160"/>
          </w:tcPr>
          <w:p>
            <w:r>
              <w:rPr>
                <w:rFonts w:ascii="Calibri" w:hAnsi="Calibri"/>
                <w:sz w:val="22"/>
              </w:rPr>
              <w:t>101.6</w:t>
            </w:r>
          </w:p>
        </w:tc>
        <w:tc>
          <w:tcPr>
            <w:tcW w:type="dxa" w:w="2160"/>
          </w:tcPr>
          <w:p>
            <w:r>
              <w:rPr>
                <w:rFonts w:ascii="Calibri" w:hAnsi="Calibri"/>
                <w:sz w:val="22"/>
              </w:rPr>
              <w:t>101.8</w:t>
            </w:r>
          </w:p>
        </w:tc>
        <w:tc>
          <w:tcPr>
            <w:tcW w:type="dxa" w:w="2160"/>
          </w:tcPr>
          <w:p>
            <w:r>
              <w:rPr>
                <w:rFonts w:ascii="Calibri" w:hAnsi="Calibri"/>
                <w:sz w:val="22"/>
              </w:rPr>
              <w:t>104.1</w:t>
            </w:r>
          </w:p>
        </w:tc>
      </w:tr>
    </w:tbl>
    <w:p>
      <w:r>
        <w:rPr>
          <w:rFonts w:ascii="Calibri" w:hAnsi="Calibri"/>
          <w:b/>
          <w:color w:val="525866"/>
          <w:sz w:val="22"/>
        </w:rPr>
        <w:t xml:space="preserve">Note: </w:t>
      </w:r>
      <w:r>
        <w:rPr>
          <w:rFonts w:ascii="Calibri" w:hAnsi="Calibri"/>
          <w:color w:val="525866"/>
          <w:sz w:val="22"/>
        </w:rPr>
        <w:t>XLB (Materials Select Sector SPDR ETF) is used as the sector benchmark, appropriate for AVY’s classification in the Materials sector (Packaging &amp; Containers sub-industry). The stock’s recent recovery from its June trough (~$153) to ~$169 heading into earnings reflects improving sentiment but still lags the S&amp;P 500 since the Q1 print. The 6-month de-rating (EV/EBITDA from 11.5x to 10.5x) is the dominant driver of the 12-month −4.1% total return, as EPS estimates have been essentially flat.</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$75M incremental investment in Wiliot</w:t>
      </w:r>
      <w:r>
        <w:rPr>
          <w:rFonts w:ascii="Calibri" w:hAnsi="Calibri"/>
          <w:color w:val="525866"/>
          <w:sz w:val="22"/>
        </w:rPr>
        <w:t xml:space="preserve"> (announced April 27, 2026), which deepens AVY’s BLE/Physical AI platform and expands the Intelligent Labels TAM by an estimated 75 billion units in condition monitoring — a strategic signal that management is doubling down on the platform even as near-term logistics headwinds persist.</w:t>
      </w:r>
    </w:p>
    <w:p>
      <w:pPr>
        <w:pStyle w:val="ListBullet"/>
        <w:ind w:left="360" w:hanging="360"/>
      </w:pPr>
      <w:r>
        <w:rPr>
          <w:rFonts w:ascii="Calibri" w:hAnsi="Calibri"/>
          <w:b/>
          <w:color w:val="525866"/>
          <w:sz w:val="22"/>
        </w:rPr>
        <w:t xml:space="preserve">Apr 27, 2026 — Wiliot Investment ($75M incremental): </w:t>
      </w:r>
      <w:r>
        <w:rPr>
          <w:rFonts w:ascii="Calibri" w:hAnsi="Calibri"/>
          <w:color w:val="525866"/>
          <w:sz w:val="22"/>
        </w:rPr>
        <w:t xml:space="preserve">AVY signed an agreement to invest an additional $75M in Wiliot, a Bluetooth Low-Energy sensor company, deepening its partnership and positioning AVY as the preferred inlay commercial partner. Includes a dedicated joint go-to-market team for retail, food, and logistics. Management estimates condition monitoring opens another 75 billion units of TAM long-term. </w:t>
      </w:r>
      <w:r>
        <w:rPr>
          <w:rFonts w:ascii="Calibri" w:hAnsi="Calibri"/>
          <w:i/>
          <w:color w:val="525866"/>
          <w:sz w:val="22"/>
        </w:rPr>
        <w:t>Implication: Bullish for the Intelligent Labels platform narrative; watch for any update on commercial traction on the Q2 call.</w:t>
      </w:r>
    </w:p>
    <w:p>
      <w:pPr>
        <w:pStyle w:val="ListBullet"/>
        <w:ind w:left="360" w:hanging="360"/>
      </w:pPr>
      <w:r>
        <w:rPr>
          <w:rFonts w:ascii="Calibri" w:hAnsi="Calibri"/>
          <w:b/>
          <w:color w:val="525866"/>
          <w:sz w:val="22"/>
        </w:rPr>
        <w:t xml:space="preserve">Apr 28, 2026 — Q1 2026 Earnings Beat; Q2 Guidance In-Line: </w:t>
      </w:r>
      <w:r>
        <w:rPr>
          <w:rFonts w:ascii="Calibri" w:hAnsi="Calibri"/>
          <w:color w:val="525866"/>
          <w:sz w:val="22"/>
        </w:rPr>
        <w:t xml:space="preserve">Adj. EPS of $2.47 beat consensus of ~$2.42 (+2.1%); revenue of $2,298.5M beat estimates. Q2 guidance midpoint of $2.48 EPS was roughly in-line with consensus, capping the stock’s reaction. Management flagged a ~$0.10 EPS swing from Q1 to Q2 due to pre-buy unwind and high-single-digit sequential raw material inflation. </w:t>
      </w:r>
      <w:r>
        <w:rPr>
          <w:rFonts w:ascii="Calibri" w:hAnsi="Calibri"/>
          <w:i/>
          <w:color w:val="525866"/>
          <w:sz w:val="22"/>
        </w:rPr>
        <w:t>Implication: The pre-buy unwind magnitude is the key Q2 swing factor.</w:t>
      </w:r>
    </w:p>
    <w:p>
      <w:pPr>
        <w:pStyle w:val="ListBullet"/>
        <w:ind w:left="360" w:hanging="360"/>
      </w:pPr>
      <w:r>
        <w:rPr>
          <w:rFonts w:ascii="Calibri" w:hAnsi="Calibri"/>
          <w:b/>
          <w:color w:val="525866"/>
          <w:sz w:val="22"/>
        </w:rPr>
        <w:t xml:space="preserve">Apr 28, 2026 — Restructuring Savings Raised to &gt;$55M: </w:t>
      </w:r>
      <w:r>
        <w:rPr>
          <w:rFonts w:ascii="Calibri" w:hAnsi="Calibri"/>
          <w:color w:val="525866"/>
          <w:sz w:val="22"/>
        </w:rPr>
        <w:t xml:space="preserve">FY2026 restructuring savings guidance increased from ~$50M to &gt;$55M, reflecting management’s confidence in productivity levers. </w:t>
      </w:r>
      <w:r>
        <w:rPr>
          <w:rFonts w:ascii="Calibri" w:hAnsi="Calibri"/>
          <w:i/>
          <w:color w:val="525866"/>
          <w:sz w:val="22"/>
        </w:rPr>
        <w:t>Implication: Modest EPS tailwind; partially offsets raw material inflation headwind.</w:t>
      </w:r>
    </w:p>
    <w:p>
      <w:pPr>
        <w:pStyle w:val="ListBullet"/>
        <w:ind w:left="360" w:hanging="360"/>
      </w:pPr>
      <w:r>
        <w:rPr>
          <w:rFonts w:ascii="Calibri" w:hAnsi="Calibri"/>
          <w:b/>
          <w:color w:val="525866"/>
          <w:sz w:val="22"/>
        </w:rPr>
        <w:t xml:space="preserve">May 1, 2026 — Shareholders Reject Independent Chairman Proposal (8-K): </w:t>
      </w:r>
      <w:r>
        <w:rPr>
          <w:rFonts w:ascii="Calibri" w:hAnsi="Calibri"/>
          <w:color w:val="525866"/>
          <w:sz w:val="22"/>
        </w:rPr>
        <w:t xml:space="preserve">AVY shareholders voted against a proposal to separate the Chairman and CEO roles at the annual meeting. </w:t>
      </w:r>
      <w:r>
        <w:rPr>
          <w:rFonts w:ascii="Calibri" w:hAnsi="Calibri"/>
          <w:i/>
          <w:color w:val="525866"/>
          <w:sz w:val="22"/>
        </w:rPr>
        <w:t>Implication: No governance change; neutral for the investment thesis.</w:t>
      </w:r>
    </w:p>
    <w:p>
      <w:pPr>
        <w:pStyle w:val="ListBullet"/>
        <w:ind w:left="360" w:hanging="360"/>
      </w:pPr>
      <w:r>
        <w:rPr>
          <w:rFonts w:ascii="Calibri" w:hAnsi="Calibri"/>
          <w:b/>
          <w:color w:val="525866"/>
          <w:sz w:val="22"/>
        </w:rPr>
        <w:t xml:space="preserve">Jul 1, 2026 — Q2 2026 Earnings Webcast Announced: </w:t>
      </w:r>
      <w:r>
        <w:rPr>
          <w:rFonts w:ascii="Calibri" w:hAnsi="Calibri"/>
          <w:color w:val="525866"/>
          <w:sz w:val="22"/>
        </w:rPr>
        <w:t xml:space="preserve">AVY confirmed the Q2 2026 earnings call for July 30, 2026 at 11:00 AM ET. </w:t>
      </w:r>
      <w:r>
        <w:rPr>
          <w:rFonts w:ascii="Calibri" w:hAnsi="Calibri"/>
          <w:i/>
          <w:color w:val="525866"/>
          <w:sz w:val="22"/>
        </w:rPr>
        <w:t>Implication: Routine announcement; confirms the reporting schedule.</w:t>
      </w:r>
    </w:p>
    <w:p>
      <w:pPr>
        <w:pStyle w:val="ListBullet"/>
        <w:ind w:left="360" w:hanging="360"/>
      </w:pPr>
      <w:r>
        <w:rPr>
          <w:rFonts w:ascii="Calibri" w:hAnsi="Calibri"/>
          <w:b/>
          <w:color w:val="525866"/>
          <w:sz w:val="22"/>
        </w:rPr>
        <w:t xml:space="preserve">Ongoing (Q2 2026) — Raw Material Inflation Escalation: </w:t>
      </w:r>
      <w:r>
        <w:rPr>
          <w:rFonts w:ascii="Calibri" w:hAnsi="Calibri"/>
          <w:color w:val="525866"/>
          <w:sz w:val="22"/>
        </w:rPr>
        <w:t xml:space="preserve">Management noted on the Q1 call that inflation shifted from deflation to inflation in March, with high-single-digit sequential inflation expected in Q2, driven by petrochemical-linked commodities. Inflation was described as continuing to increase into late April and early May, with some carryover into Q3. Peers (SW, PKG, SON, REYN, CCK) have confirmed a broad-based inflationary environment in Q2 2026 across freight, energy, and raw materials. </w:t>
      </w:r>
      <w:r>
        <w:rPr>
          <w:rFonts w:ascii="Calibri" w:hAnsi="Calibri"/>
          <w:i/>
          <w:color w:val="525866"/>
          <w:sz w:val="22"/>
        </w:rPr>
        <w:t>Implication: Key margin risk for Q2; management’s pricing playbook and material re-engineering are the primary offsets.</w:t>
      </w:r>
    </w:p>
    <w:p>
      <w:pPr>
        <w:pStyle w:val="ListBullet"/>
        <w:ind w:left="360" w:hanging="360"/>
      </w:pPr>
      <w:r>
        <w:rPr>
          <w:rFonts w:ascii="Calibri" w:hAnsi="Calibri"/>
          <w:b/>
          <w:color w:val="525866"/>
          <w:sz w:val="22"/>
        </w:rPr>
        <w:t xml:space="preserve">Ongoing (Q2 2026) — Walmart Fresh Grocery RFID Rollout (H2 Catalyst): </w:t>
      </w:r>
      <w:r>
        <w:rPr>
          <w:rFonts w:ascii="Calibri" w:hAnsi="Calibri"/>
          <w:color w:val="525866"/>
          <w:sz w:val="22"/>
        </w:rPr>
        <w:t xml:space="preserve">The largest U.S. grocery retailer (Walmart) rollout across bakery, meat, and deli remains on track for H2 2026 ramp. Management has noted increased inbound interest from other food retailers and supply chain players following the Walmart announcement. Two additional pilots are running in North America and Europe with large grocery retailers. </w:t>
      </w:r>
      <w:r>
        <w:rPr>
          <w:rFonts w:ascii="Calibri" w:hAnsi="Calibri"/>
          <w:i/>
          <w:color w:val="525866"/>
          <w:sz w:val="22"/>
        </w:rPr>
        <w:t>Implication: The single most important long-term catalyst for the Intelligent Labels platform; any update on timing or scale on the Q2 call will be closely watched.</w:t>
      </w:r>
    </w:p>
    <w:p>
      <w:pPr>
        <w:pStyle w:val="ListBullet"/>
        <w:ind w:left="360" w:hanging="360"/>
      </w:pPr>
      <w:r>
        <w:rPr>
          <w:rFonts w:ascii="Calibri" w:hAnsi="Calibri"/>
          <w:b/>
          <w:color w:val="525866"/>
          <w:sz w:val="22"/>
        </w:rPr>
        <w:t xml:space="preserve">Ongoing (Q2 2026) — Logistics Intelligent Labels Headwind (Chip Transition): </w:t>
      </w:r>
      <w:r>
        <w:rPr>
          <w:rFonts w:ascii="Calibri" w:hAnsi="Calibri"/>
          <w:color w:val="525866"/>
          <w:sz w:val="22"/>
        </w:rPr>
        <w:t xml:space="preserve">Logistics IL sales were down low-double-digits in Q1 due to soft customer demand and a chip transition at a key customer. Management expected the chip timing impact to be “largely resolved by the time we get through the second quarter.” </w:t>
      </w:r>
      <w:r>
        <w:rPr>
          <w:rFonts w:ascii="Calibri" w:hAnsi="Calibri"/>
          <w:i/>
          <w:color w:val="525866"/>
          <w:sz w:val="22"/>
        </w:rPr>
        <w:t>Implication: If resolved as expected, logistics should be a sequential tailwind in Q3; any delay would be a negative surprise.</w:t>
      </w:r>
    </w:p>
    <w:p>
      <w:r>
        <w:br w:type="page"/>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 xml:space="preserve">No open-market buys or discretionary sells by executives since the Q1 print — all activity is routine director RSU grants and vesting (transaction codes A and M), which carry no informational signal. </w:t>
      </w:r>
      <w:r>
        <w:rPr>
          <w:rFonts w:ascii="Calibri" w:hAnsi="Calibri"/>
          <w:b/>
          <w:color w:val="525866"/>
          <w:sz w:val="22"/>
        </w:rPr>
        <w:t>The absence of any open-market purchases despite the stock’s ~10% decline from its 6-month high is notable but not alarming</w:t>
      </w:r>
      <w:r>
        <w:rPr>
          <w:rFonts w:ascii="Calibri" w:hAnsi="Calibri"/>
          <w:color w:val="525866"/>
          <w:sz w:val="22"/>
        </w:rPr>
        <w:t xml:space="preserve"> given the company’s active share repurchase program ($61M in Q1 alone).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Flitman, David E.</w:t>
            </w:r>
          </w:p>
        </w:tc>
        <w:tc>
          <w:tcPr>
            <w:tcW w:type="dxa" w:w="1440"/>
          </w:tcPr>
          <w:p>
            <w:r>
              <w:rPr>
                <w:rFonts w:ascii="Calibri" w:hAnsi="Calibri"/>
                <w:sz w:val="22"/>
              </w:rPr>
              <w:t>Director</w:t>
            </w:r>
          </w:p>
        </w:tc>
        <w:tc>
          <w:tcPr>
            <w:tcW w:type="dxa" w:w="1440"/>
          </w:tcPr>
          <w:p>
            <w:r>
              <w:rPr>
                <w:rFonts w:ascii="Calibri" w:hAnsi="Calibri"/>
                <w:sz w:val="22"/>
              </w:rPr>
              <w:t>RSU Vest / Common Stock Conversion (Code M)</w:t>
            </w:r>
          </w:p>
        </w:tc>
        <w:tc>
          <w:tcPr>
            <w:tcW w:type="dxa" w:w="1440"/>
          </w:tcPr>
          <w:p>
            <w:r>
              <w:rPr>
                <w:rFonts w:ascii="Calibri" w:hAnsi="Calibri"/>
                <w:sz w:val="22"/>
              </w:rPr>
              <w:t>765</w:t>
            </w:r>
          </w:p>
        </w:tc>
        <w:tc>
          <w:tcPr>
            <w:tcW w:type="dxa" w:w="1440"/>
          </w:tcPr>
          <w:p>
            <w:r>
              <w:rPr>
                <w:rFonts w:ascii="Calibri" w:hAnsi="Calibri"/>
                <w:sz w:val="22"/>
              </w:rPr>
              <w:t>Jul 23, 2026</w:t>
            </w:r>
          </w:p>
        </w:tc>
        <w:tc>
          <w:tcPr>
            <w:tcW w:type="dxa" w:w="1440"/>
          </w:tcPr>
          <w:p>
            <w:r>
              <w:rPr>
                <w:rFonts w:ascii="Calibri" w:hAnsi="Calibri"/>
                <w:sz w:val="22"/>
              </w:rPr>
              <w:t>Routine director RSU vesting; no discretionary sale</w:t>
            </w:r>
          </w:p>
        </w:tc>
      </w:tr>
      <w:tr>
        <w:tc>
          <w:tcPr>
            <w:tcW w:type="dxa" w:w="1440"/>
          </w:tcPr>
          <w:p>
            <w:r>
              <w:rPr>
                <w:rFonts w:ascii="Calibri" w:hAnsi="Calibri"/>
                <w:sz w:val="22"/>
              </w:rPr>
              <w:t>Alford, Bradley A.</w:t>
            </w:r>
          </w:p>
        </w:tc>
        <w:tc>
          <w:tcPr>
            <w:tcW w:type="dxa" w:w="1440"/>
          </w:tcPr>
          <w:p>
            <w:r>
              <w:rPr>
                <w:rFonts w:ascii="Calibri" w:hAnsi="Calibri"/>
                <w:sz w:val="22"/>
              </w:rPr>
              <w:t>Director</w:t>
            </w:r>
          </w:p>
        </w:tc>
        <w:tc>
          <w:tcPr>
            <w:tcW w:type="dxa" w:w="1440"/>
          </w:tcPr>
          <w:p>
            <w:r>
              <w:rPr>
                <w:rFonts w:ascii="Calibri" w:hAnsi="Calibri"/>
                <w:sz w:val="22"/>
              </w:rPr>
              <w:t>RSU Grant (2026 Award) + Vest (2025 Award) (Codes A/M)</w:t>
            </w:r>
          </w:p>
        </w:tc>
        <w:tc>
          <w:tcPr>
            <w:tcW w:type="dxa" w:w="1440"/>
          </w:tcPr>
          <w:p>
            <w:r>
              <w:rPr>
                <w:rFonts w:ascii="Calibri" w:hAnsi="Calibri"/>
                <w:sz w:val="22"/>
              </w:rPr>
              <w:t>1,128 granted / 1,087 vested</w:t>
            </w:r>
          </w:p>
        </w:tc>
        <w:tc>
          <w:tcPr>
            <w:tcW w:type="dxa" w:w="1440"/>
          </w:tcPr>
          <w:p>
            <w:r>
              <w:rPr>
                <w:rFonts w:ascii="Calibri" w:hAnsi="Calibri"/>
                <w:sz w:val="22"/>
              </w:rPr>
              <w:t>May 1, 2026</w:t>
            </w:r>
          </w:p>
        </w:tc>
        <w:tc>
          <w:tcPr>
            <w:tcW w:type="dxa" w:w="1440"/>
          </w:tcPr>
          <w:p>
            <w:r>
              <w:rPr>
                <w:rFonts w:ascii="Calibri" w:hAnsi="Calibri"/>
                <w:sz w:val="22"/>
              </w:rPr>
              <w:t>Annual director RSU cycle; routine, no informational signal</w:t>
            </w:r>
          </w:p>
        </w:tc>
      </w:tr>
      <w:tr>
        <w:tc>
          <w:tcPr>
            <w:tcW w:type="dxa" w:w="1440"/>
          </w:tcPr>
          <w:p>
            <w:r>
              <w:rPr>
                <w:rFonts w:ascii="Calibri" w:hAnsi="Calibri"/>
                <w:sz w:val="22"/>
              </w:rPr>
              <w:t>Butier, Mitchell R.</w:t>
            </w:r>
          </w:p>
        </w:tc>
        <w:tc>
          <w:tcPr>
            <w:tcW w:type="dxa" w:w="1440"/>
          </w:tcPr>
          <w:p>
            <w:r>
              <w:rPr>
                <w:rFonts w:ascii="Calibri" w:hAnsi="Calibri"/>
                <w:sz w:val="22"/>
              </w:rPr>
              <w:t>Director (former CEO)</w:t>
            </w:r>
          </w:p>
        </w:tc>
        <w:tc>
          <w:tcPr>
            <w:tcW w:type="dxa" w:w="1440"/>
          </w:tcPr>
          <w:p>
            <w:r>
              <w:rPr>
                <w:rFonts w:ascii="Calibri" w:hAnsi="Calibri"/>
                <w:sz w:val="22"/>
              </w:rPr>
              <w:t>RSU Grant (2026 Award) + Vest (2025 Award) (Codes A/M)</w:t>
            </w:r>
          </w:p>
        </w:tc>
        <w:tc>
          <w:tcPr>
            <w:tcW w:type="dxa" w:w="1440"/>
          </w:tcPr>
          <w:p>
            <w:r>
              <w:rPr>
                <w:rFonts w:ascii="Calibri" w:hAnsi="Calibri"/>
                <w:sz w:val="22"/>
              </w:rPr>
              <w:t>1,829 granted / 1,763 vested</w:t>
            </w:r>
          </w:p>
        </w:tc>
        <w:tc>
          <w:tcPr>
            <w:tcW w:type="dxa" w:w="1440"/>
          </w:tcPr>
          <w:p>
            <w:r>
              <w:rPr>
                <w:rFonts w:ascii="Calibri" w:hAnsi="Calibri"/>
                <w:sz w:val="22"/>
              </w:rPr>
              <w:t>May 1, 2026</w:t>
            </w:r>
          </w:p>
        </w:tc>
        <w:tc>
          <w:tcPr>
            <w:tcW w:type="dxa" w:w="1440"/>
          </w:tcPr>
          <w:p>
            <w:r>
              <w:rPr>
                <w:rFonts w:ascii="Calibri" w:hAnsi="Calibri"/>
                <w:sz w:val="22"/>
              </w:rPr>
              <w:t>Annual director RSU cycle; larger grant reflects prior CEO role; no discretionary sale</w:t>
            </w:r>
          </w:p>
        </w:tc>
      </w:tr>
      <w:tr>
        <w:tc>
          <w:tcPr>
            <w:tcW w:type="dxa" w:w="1440"/>
          </w:tcPr>
          <w:p>
            <w:r>
              <w:rPr>
                <w:rFonts w:ascii="Calibri" w:hAnsi="Calibri"/>
                <w:sz w:val="22"/>
              </w:rPr>
              <w:t>Dickson, Ward H.</w:t>
            </w:r>
          </w:p>
        </w:tc>
        <w:tc>
          <w:tcPr>
            <w:tcW w:type="dxa" w:w="1440"/>
          </w:tcPr>
          <w:p>
            <w:r>
              <w:rPr>
                <w:rFonts w:ascii="Calibri" w:hAnsi="Calibri"/>
                <w:sz w:val="22"/>
              </w:rPr>
              <w:t>Director</w:t>
            </w:r>
          </w:p>
        </w:tc>
        <w:tc>
          <w:tcPr>
            <w:tcW w:type="dxa" w:w="1440"/>
          </w:tcPr>
          <w:p>
            <w:r>
              <w:rPr>
                <w:rFonts w:ascii="Calibri" w:hAnsi="Calibri"/>
                <w:sz w:val="22"/>
              </w:rPr>
              <w:t>RSU Grant (2026 Award) + Vest (2025 Award) (Codes A/M)</w:t>
            </w:r>
          </w:p>
        </w:tc>
        <w:tc>
          <w:tcPr>
            <w:tcW w:type="dxa" w:w="1440"/>
          </w:tcPr>
          <w:p>
            <w:r>
              <w:rPr>
                <w:rFonts w:ascii="Calibri" w:hAnsi="Calibri"/>
                <w:sz w:val="22"/>
              </w:rPr>
              <w:t>1,128 granted / 1,087 vested</w:t>
            </w:r>
          </w:p>
        </w:tc>
        <w:tc>
          <w:tcPr>
            <w:tcW w:type="dxa" w:w="1440"/>
          </w:tcPr>
          <w:p>
            <w:r>
              <w:rPr>
                <w:rFonts w:ascii="Calibri" w:hAnsi="Calibri"/>
                <w:sz w:val="22"/>
              </w:rPr>
              <w:t>May 1, 2026</w:t>
            </w:r>
          </w:p>
        </w:tc>
        <w:tc>
          <w:tcPr>
            <w:tcW w:type="dxa" w:w="1440"/>
          </w:tcPr>
          <w:p>
            <w:r>
              <w:rPr>
                <w:rFonts w:ascii="Calibri" w:hAnsi="Calibri"/>
                <w:sz w:val="22"/>
              </w:rPr>
              <w:t>Annual director RSU cycle; routine</w:t>
            </w:r>
          </w:p>
        </w:tc>
      </w:tr>
      <w:tr>
        <w:tc>
          <w:tcPr>
            <w:tcW w:type="dxa" w:w="1440"/>
          </w:tcPr>
          <w:p>
            <w:r>
              <w:rPr>
                <w:rFonts w:ascii="Calibri" w:hAnsi="Calibri"/>
                <w:sz w:val="22"/>
              </w:rPr>
              <w:t>Reverberi, Francesca</w:t>
            </w:r>
          </w:p>
        </w:tc>
        <w:tc>
          <w:tcPr>
            <w:tcW w:type="dxa" w:w="1440"/>
          </w:tcPr>
          <w:p>
            <w:r>
              <w:rPr>
                <w:rFonts w:ascii="Calibri" w:hAnsi="Calibri"/>
                <w:sz w:val="22"/>
              </w:rPr>
              <w:t>Director</w:t>
            </w:r>
          </w:p>
        </w:tc>
        <w:tc>
          <w:tcPr>
            <w:tcW w:type="dxa" w:w="1440"/>
          </w:tcPr>
          <w:p>
            <w:r>
              <w:rPr>
                <w:rFonts w:ascii="Calibri" w:hAnsi="Calibri"/>
                <w:sz w:val="22"/>
              </w:rPr>
              <w:t>RSU Grant + Vest + Tax Withholding Sale (Codes A/M/F)</w:t>
            </w:r>
          </w:p>
        </w:tc>
        <w:tc>
          <w:tcPr>
            <w:tcW w:type="dxa" w:w="1440"/>
          </w:tcPr>
          <w:p>
            <w:r>
              <w:rPr>
                <w:rFonts w:ascii="Calibri" w:hAnsi="Calibri"/>
                <w:sz w:val="22"/>
              </w:rPr>
              <w:t>1,128 granted / 1,087 vested / 327 withheld for tax</w:t>
            </w:r>
          </w:p>
        </w:tc>
        <w:tc>
          <w:tcPr>
            <w:tcW w:type="dxa" w:w="1440"/>
          </w:tcPr>
          <w:p>
            <w:r>
              <w:rPr>
                <w:rFonts w:ascii="Calibri" w:hAnsi="Calibri"/>
                <w:sz w:val="22"/>
              </w:rPr>
              <w:t>May 1, 2026</w:t>
            </w:r>
          </w:p>
        </w:tc>
        <w:tc>
          <w:tcPr>
            <w:tcW w:type="dxa" w:w="1440"/>
          </w:tcPr>
          <w:p>
            <w:r>
              <w:rPr>
                <w:rFonts w:ascii="Calibri" w:hAnsi="Calibri"/>
                <w:sz w:val="22"/>
              </w:rPr>
              <w:t>Tax withholding (Code F) is obligation-driven, not discretionary</w:t>
            </w:r>
          </w:p>
        </w:tc>
      </w:tr>
      <w:tr>
        <w:tc>
          <w:tcPr>
            <w:tcW w:type="dxa" w:w="1440"/>
          </w:tcPr>
          <w:p>
            <w:r>
              <w:rPr>
                <w:rFonts w:ascii="Calibri" w:hAnsi="Calibri"/>
                <w:sz w:val="22"/>
              </w:rPr>
              <w:t>Siewert, Patrick</w:t>
            </w:r>
          </w:p>
        </w:tc>
        <w:tc>
          <w:tcPr>
            <w:tcW w:type="dxa" w:w="1440"/>
          </w:tcPr>
          <w:p>
            <w:r>
              <w:rPr>
                <w:rFonts w:ascii="Calibri" w:hAnsi="Calibri"/>
                <w:sz w:val="22"/>
              </w:rPr>
              <w:t>Director</w:t>
            </w:r>
          </w:p>
        </w:tc>
        <w:tc>
          <w:tcPr>
            <w:tcW w:type="dxa" w:w="1440"/>
          </w:tcPr>
          <w:p>
            <w:r>
              <w:rPr>
                <w:rFonts w:ascii="Calibri" w:hAnsi="Calibri"/>
                <w:sz w:val="22"/>
              </w:rPr>
              <w:t>RSU Grant + Vest + Tax Withholding Sale (Codes A/M/F)</w:t>
            </w:r>
          </w:p>
        </w:tc>
        <w:tc>
          <w:tcPr>
            <w:tcW w:type="dxa" w:w="1440"/>
          </w:tcPr>
          <w:p>
            <w:r>
              <w:rPr>
                <w:rFonts w:ascii="Calibri" w:hAnsi="Calibri"/>
                <w:sz w:val="22"/>
              </w:rPr>
              <w:t>1,128 granted / 1,087 vested / 327 withheld for tax</w:t>
            </w:r>
          </w:p>
        </w:tc>
        <w:tc>
          <w:tcPr>
            <w:tcW w:type="dxa" w:w="1440"/>
          </w:tcPr>
          <w:p>
            <w:r>
              <w:rPr>
                <w:rFonts w:ascii="Calibri" w:hAnsi="Calibri"/>
                <w:sz w:val="22"/>
              </w:rPr>
              <w:t>May 1, 2026</w:t>
            </w:r>
          </w:p>
        </w:tc>
        <w:tc>
          <w:tcPr>
            <w:tcW w:type="dxa" w:w="1440"/>
          </w:tcPr>
          <w:p>
            <w:r>
              <w:rPr>
                <w:rFonts w:ascii="Calibri" w:hAnsi="Calibri"/>
                <w:sz w:val="22"/>
              </w:rPr>
              <w:t>Tax withholding (Code F) is obligation-driven, not discretionary</w:t>
            </w:r>
          </w:p>
        </w:tc>
      </w:tr>
      <w:tr>
        <w:tc>
          <w:tcPr>
            <w:tcW w:type="dxa" w:w="1440"/>
          </w:tcPr>
          <w:p>
            <w:r>
              <w:rPr>
                <w:rFonts w:ascii="Calibri" w:hAnsi="Calibri"/>
                <w:sz w:val="22"/>
              </w:rPr>
              <w:t>Wagner, William Raymond</w:t>
            </w:r>
          </w:p>
        </w:tc>
        <w:tc>
          <w:tcPr>
            <w:tcW w:type="dxa" w:w="1440"/>
          </w:tcPr>
          <w:p>
            <w:r>
              <w:rPr>
                <w:rFonts w:ascii="Calibri" w:hAnsi="Calibri"/>
                <w:sz w:val="22"/>
              </w:rPr>
              <w:t>Director</w:t>
            </w:r>
          </w:p>
        </w:tc>
        <w:tc>
          <w:tcPr>
            <w:tcW w:type="dxa" w:w="1440"/>
          </w:tcPr>
          <w:p>
            <w:r>
              <w:rPr>
                <w:rFonts w:ascii="Calibri" w:hAnsi="Calibri"/>
                <w:sz w:val="22"/>
              </w:rPr>
              <w:t>RSU Grant (2026 Award) + Vest (2025 Award) (Codes A/M)</w:t>
            </w:r>
          </w:p>
        </w:tc>
        <w:tc>
          <w:tcPr>
            <w:tcW w:type="dxa" w:w="1440"/>
          </w:tcPr>
          <w:p>
            <w:r>
              <w:rPr>
                <w:rFonts w:ascii="Calibri" w:hAnsi="Calibri"/>
                <w:sz w:val="22"/>
              </w:rPr>
              <w:t>1,128 granted / 1,087 vested</w:t>
            </w:r>
          </w:p>
        </w:tc>
        <w:tc>
          <w:tcPr>
            <w:tcW w:type="dxa" w:w="1440"/>
          </w:tcPr>
          <w:p>
            <w:r>
              <w:rPr>
                <w:rFonts w:ascii="Calibri" w:hAnsi="Calibri"/>
                <w:sz w:val="22"/>
              </w:rPr>
              <w:t>May 1, 2026</w:t>
            </w:r>
          </w:p>
        </w:tc>
        <w:tc>
          <w:tcPr>
            <w:tcW w:type="dxa" w:w="1440"/>
          </w:tcPr>
          <w:p>
            <w:r>
              <w:rPr>
                <w:rFonts w:ascii="Calibri" w:hAnsi="Calibri"/>
                <w:sz w:val="22"/>
              </w:rPr>
              <w:t>Annual director RSU cycle; routine</w:t>
            </w:r>
          </w:p>
        </w:tc>
      </w:tr>
    </w:tbl>
    <w:p>
      <w:r>
        <w:rPr>
          <w:rFonts w:ascii="Calibri" w:hAnsi="Calibri"/>
          <w:i/>
          <w:color w:val="525866"/>
          <w:sz w:val="22"/>
        </w:rPr>
        <w:t>Source: SEC Form 4 Filings (Insider Transaction Data). Open-market buys (Code P) and discretionary sells (Code S) only carry informational signal; none were filed in the period. All transactions above are routine RSU grants (Code A), vesting conversions (Code M), and tax withholding dispositions (Code F).</w:t>
      </w:r>
    </w:p>
    <w:p>
      <w:r>
        <w:br w:type="page"/>
      </w:r>
    </w:p>
    <w:p>
      <w:pPr>
        <w:pStyle w:val="Heading2"/>
      </w:pPr>
      <w:r>
        <w:rPr>
          <w:rFonts w:ascii="Calibri" w:hAnsi="Calibri"/>
          <w:b/>
          <w:color w:val="3B4259"/>
          <w:sz w:val="28"/>
        </w:rPr>
        <w:t>8. Peer Commentaries: Last 60 Days (Q2 2026 Read-Throughs for AVY)</w:t>
      </w:r>
    </w:p>
    <w:p>
      <w:r>
        <w:rPr>
          <w:rFonts w:ascii="Calibri" w:hAnsi="Calibri"/>
          <w:b/>
          <w:color w:val="525866"/>
          <w:sz w:val="22"/>
        </w:rPr>
        <w:t xml:space="preserve">Key Takeaway: </w:t>
      </w:r>
      <w:r>
        <w:rPr>
          <w:rFonts w:ascii="Calibri" w:hAnsi="Calibri"/>
          <w:color w:val="525866"/>
          <w:sz w:val="22"/>
        </w:rPr>
        <w:t xml:space="preserve">Packaging and materials peers reporting Q2 2026 results paint a </w:t>
      </w:r>
      <w:r>
        <w:rPr>
          <w:rFonts w:ascii="Calibri" w:hAnsi="Calibri"/>
          <w:b/>
          <w:color w:val="525866"/>
          <w:sz w:val="22"/>
        </w:rPr>
        <w:t>mixed-but-improving picture</w:t>
      </w:r>
      <w:r>
        <w:rPr>
          <w:rFonts w:ascii="Calibri" w:hAnsi="Calibri"/>
          <w:color w:val="525866"/>
          <w:sz w:val="22"/>
        </w:rPr>
        <w:t xml:space="preserve"> — industrial and paper packaging demand is tight-to-strong, consumer packaging is under pressure, and </w:t>
      </w:r>
      <w:r>
        <w:rPr>
          <w:rFonts w:ascii="Calibri" w:hAnsi="Calibri"/>
          <w:b/>
          <w:color w:val="525866"/>
          <w:sz w:val="22"/>
        </w:rPr>
        <w:t>raw material and freight inflation is the universal headwind</w:t>
      </w:r>
      <w:r>
        <w:rPr>
          <w:rFonts w:ascii="Calibri" w:hAnsi="Calibri"/>
          <w:color w:val="525866"/>
          <w:sz w:val="22"/>
        </w:rPr>
        <w:t xml:space="preserve"> that every peer is actively pricing through. For AVY specifically, the most relevant read-throughs are: (1) broad-based raw material inflation confirms AVY’s Q2 margin headwind is real and industry-wide; (2) pricing actions are being successfully implemented across the sector, supporting AVY’s confidence in its own pricing playbook; and (3) consumer/apparel end-market softness persists, consistent with AVY’s cautious tone on Solutions Group volumes.</w:t>
      </w:r>
    </w:p>
    <w:p>
      <w:r>
        <w:rPr>
          <w:rFonts w:ascii="Calibri" w:hAnsi="Calibri"/>
          <w:b/>
          <w:color w:val="525866"/>
          <w:sz w:val="22"/>
        </w:rPr>
        <w:t xml:space="preserve">Note: </w:t>
      </w:r>
      <w:r>
        <w:rPr>
          <w:rFonts w:ascii="Calibri" w:hAnsi="Calibri"/>
          <w:i/>
          <w:color w:val="525866"/>
          <w:sz w:val="22"/>
        </w:rPr>
        <w:t>All commentary below is sourced exclusively from Q2 2026 earnings calls and releases (reported July 2026), reflecting conditions experienced in Q2 2026 and forward guidance for Q3 2026. No prior-quarter retrospective commentary is included.</w:t>
      </w:r>
    </w:p>
    <w:p>
      <w:pPr>
        <w:pStyle w:val="Heading3"/>
      </w:pPr>
      <w:r>
        <w:rPr>
          <w:rFonts w:ascii="Calibri" w:hAnsi="Calibri"/>
          <w:b/>
          <w:color w:val="3B4259"/>
          <w:sz w:val="24"/>
        </w:rPr>
        <w:t>8.1 Raw Material &amp; Freight Inflation — Broad-Based and Worsening</w:t>
      </w:r>
    </w:p>
    <w:p>
      <w:r>
        <w:rPr>
          <w:rFonts w:ascii="Calibri" w:hAnsi="Calibri"/>
          <w:b/>
          <w:color w:val="525866"/>
          <w:sz w:val="22"/>
        </w:rPr>
        <w:t xml:space="preserve">AVY Relevance: </w:t>
      </w:r>
      <w:r>
        <w:rPr>
          <w:rFonts w:ascii="Calibri" w:hAnsi="Calibri"/>
          <w:color w:val="525866"/>
          <w:sz w:val="22"/>
        </w:rPr>
        <w:t>AVY guided to high-single-digit sequential raw material inflation in Q2 on the April 28 call. Peer commentary confirms this is an industry-wide phenomenon, not AVY-specific, and that the inflationary environment has not abated into Q3 — raising the risk that Q3 guidance could also disappoint on margins even if Q2 prints in-line.</w:t>
      </w:r>
    </w:p>
    <w:p>
      <w:pPr>
        <w:pStyle w:val="ListBullet"/>
        <w:ind w:left="360" w:hanging="360"/>
      </w:pPr>
      <w:r>
        <w:rPr>
          <w:rFonts w:ascii="Calibri" w:hAnsi="Calibri"/>
          <w:b/>
          <w:color w:val="525866"/>
          <w:sz w:val="22"/>
        </w:rPr>
        <w:t xml:space="preserve">Smurfit Westrock (SW) — Q2 2026 Earnings Call (Jul 29, 2026): </w:t>
      </w:r>
      <w:r>
        <w:rPr>
          <w:rFonts w:ascii="Calibri" w:hAnsi="Calibri"/>
          <w:color w:val="525866"/>
          <w:sz w:val="22"/>
        </w:rPr>
        <w:t xml:space="preserve">“Freight costs globally represented a significant headwind, driven largely by higher fuel costs and shipping rates due to the ongoing conflict in the Middle East and higher domestic transportation costs in both Europe and North America.” SW now expects a </w:t>
      </w:r>
      <w:r>
        <w:rPr>
          <w:rFonts w:ascii="Calibri" w:hAnsi="Calibri"/>
          <w:b/>
          <w:color w:val="525866"/>
          <w:sz w:val="22"/>
        </w:rPr>
        <w:t>$300M year-on-year freight cost headwind</w:t>
      </w:r>
      <w:r>
        <w:rPr>
          <w:rFonts w:ascii="Calibri" w:hAnsi="Calibri"/>
          <w:color w:val="525866"/>
          <w:sz w:val="22"/>
        </w:rPr>
        <w:t xml:space="preserve">, significantly more than anticipated three months ago. The company also stated: “The inflationary cost environment is not showing signs of abatement.” </w:t>
      </w:r>
      <w:r>
        <w:rPr>
          <w:rFonts w:ascii="Calibri" w:hAnsi="Calibri"/>
          <w:i/>
          <w:color w:val="525866"/>
          <w:sz w:val="22"/>
        </w:rPr>
        <w:t>AVY read-through: Confirms AVY’s raw material and freight inflation headwind is real and potentially larger than guided; pricing actions are the critical offset.</w:t>
      </w:r>
    </w:p>
    <w:p>
      <w:pPr>
        <w:pStyle w:val="ListBullet"/>
        <w:ind w:left="360" w:hanging="360"/>
      </w:pPr>
      <w:r>
        <w:rPr>
          <w:rFonts w:ascii="Calibri" w:hAnsi="Calibri"/>
          <w:b/>
          <w:color w:val="525866"/>
          <w:sz w:val="22"/>
        </w:rPr>
        <w:t xml:space="preserve">Packaging Corp. of America (PKG) — Q2 2026 Earnings Call (Jul 23, 2026): </w:t>
      </w:r>
      <w:r>
        <w:rPr>
          <w:rFonts w:ascii="Calibri" w:hAnsi="Calibri"/>
          <w:color w:val="525866"/>
          <w:sz w:val="22"/>
        </w:rPr>
        <w:t xml:space="preserve">Q2 earnings were impacted by “elevated freight” costs of $0.26 per share. OCC recycled fiber is up “about 70%” since the beginning of the year, with prices “continuing to increase” into Q3. PKG projects freight costs will “remain at or around the elevated levels we experienced in May and June.” </w:t>
      </w:r>
      <w:r>
        <w:rPr>
          <w:rFonts w:ascii="Calibri" w:hAnsi="Calibri"/>
          <w:i/>
          <w:color w:val="525866"/>
          <w:sz w:val="22"/>
        </w:rPr>
        <w:t>AVY read-through: Petrochemical-linked raw material inflation (AVY’s primary input) is consistent with broader commodity inflation; no near-term relief expected.</w:t>
      </w:r>
    </w:p>
    <w:p>
      <w:pPr>
        <w:pStyle w:val="ListBullet"/>
        <w:ind w:left="360" w:hanging="360"/>
      </w:pPr>
      <w:r>
        <w:rPr>
          <w:rFonts w:ascii="Calibri" w:hAnsi="Calibri"/>
          <w:b/>
          <w:color w:val="525866"/>
          <w:sz w:val="22"/>
        </w:rPr>
        <w:t xml:space="preserve">Sonoco Products (SON) — Q2 2026 Earnings Call (Jul 23, 2026): </w:t>
      </w:r>
      <w:r>
        <w:rPr>
          <w:rFonts w:ascii="Calibri" w:hAnsi="Calibri"/>
          <w:color w:val="525866"/>
          <w:sz w:val="22"/>
        </w:rPr>
        <w:t xml:space="preserve">Global inflationary pressures driven by higher energy expenses from the Middle East situation “costs us roughly $10 million of operating profit in the quarter.” Raw materials were also higher, particularly oak, which was “up $40 per ton year to date to $100 a ton.” SON was “behind the price cost curve in Q2” but states recovery mechanisms are now in place for Q3. </w:t>
      </w:r>
      <w:r>
        <w:rPr>
          <w:rFonts w:ascii="Calibri" w:hAnsi="Calibri"/>
          <w:i/>
          <w:color w:val="525866"/>
          <w:sz w:val="22"/>
        </w:rPr>
        <w:t>AVY read-through: The price-cost lag experienced by SON in Q2 mirrors AVY’s own dynamic; AVY’s management expressed more confidence in closing this gap faster than historical patterns.</w:t>
      </w:r>
    </w:p>
    <w:p>
      <w:pPr>
        <w:pStyle w:val="ListBullet"/>
        <w:ind w:left="360" w:hanging="360"/>
      </w:pPr>
      <w:r>
        <w:rPr>
          <w:rFonts w:ascii="Calibri" w:hAnsi="Calibri"/>
          <w:b/>
          <w:color w:val="525866"/>
          <w:sz w:val="22"/>
        </w:rPr>
        <w:t xml:space="preserve">Reynolds Consumer Products (REYN) — Q2 2026 Earnings Call (Jul 29, 2026): </w:t>
      </w:r>
      <w:r>
        <w:rPr>
          <w:rFonts w:ascii="Calibri" w:hAnsi="Calibri"/>
          <w:color w:val="525866"/>
          <w:sz w:val="22"/>
        </w:rPr>
        <w:t xml:space="preserve">REYN increased its outlook for annualized commodity headwinds from </w:t>
      </w:r>
      <w:r>
        <w:rPr>
          <w:rFonts w:ascii="Calibri" w:hAnsi="Calibri"/>
          <w:b/>
          <w:color w:val="525866"/>
          <w:sz w:val="22"/>
        </w:rPr>
        <w:t>$200M in April to approximately $400M</w:t>
      </w:r>
      <w:r>
        <w:rPr>
          <w:rFonts w:ascii="Calibri" w:hAnsi="Calibri"/>
          <w:color w:val="525866"/>
          <w:sz w:val="22"/>
        </w:rPr>
        <w:t xml:space="preserve">, reflecting higher costs at the end of Q2. The company implemented its most recent foil price increase in July and initiated its first cost recovery pricing for resin-based products in July. </w:t>
      </w:r>
      <w:r>
        <w:rPr>
          <w:rFonts w:ascii="Calibri" w:hAnsi="Calibri"/>
          <w:i/>
          <w:color w:val="525866"/>
          <w:sz w:val="22"/>
        </w:rPr>
        <w:t>AVY read-through: The doubling of REYN’s commodity headwind estimate from April to July is a cautionary signal that inflation may be running above what AVY guided on April 28.</w:t>
      </w:r>
    </w:p>
    <w:p>
      <w:pPr>
        <w:pStyle w:val="ListBullet"/>
        <w:ind w:left="360" w:hanging="360"/>
      </w:pPr>
      <w:r>
        <w:rPr>
          <w:rFonts w:ascii="Calibri" w:hAnsi="Calibri"/>
          <w:b/>
          <w:color w:val="525866"/>
          <w:sz w:val="22"/>
        </w:rPr>
        <w:t xml:space="preserve">Crown Holdings (CCK) — Q2 2026 Earnings Call (Jul 21, 2026): </w:t>
      </w:r>
      <w:r>
        <w:rPr>
          <w:rFonts w:ascii="Calibri" w:hAnsi="Calibri"/>
          <w:color w:val="525866"/>
          <w:sz w:val="22"/>
        </w:rPr>
        <w:t xml:space="preserve">CCK expects “the second half of the year to continue to see higher inflation that currently runs ahead of our cost recovery mechanisms, which will reset either at the end of the year or early next year.” Noted cost headwinds from the Middle East crisis in ocean freight and industrial gases. </w:t>
      </w:r>
      <w:r>
        <w:rPr>
          <w:rFonts w:ascii="Calibri" w:hAnsi="Calibri"/>
          <w:i/>
          <w:color w:val="525866"/>
          <w:sz w:val="22"/>
        </w:rPr>
        <w:t>AVY read-through: CCK’s admission that cost recovery mechanisms lag inflation into H2 is a risk flag for AVY’s own margin recovery timeline.</w:t>
      </w:r>
    </w:p>
    <w:p>
      <w:pPr>
        <w:pStyle w:val="ListBullet"/>
        <w:ind w:left="360" w:hanging="360"/>
      </w:pPr>
      <w:r>
        <w:rPr>
          <w:rFonts w:ascii="Calibri" w:hAnsi="Calibri"/>
          <w:b/>
          <w:color w:val="525866"/>
          <w:sz w:val="22"/>
        </w:rPr>
        <w:t xml:space="preserve">Silgan Holdings (SLGN) — Q2 2026 Earnings Call (Jul 29, 2026): </w:t>
      </w:r>
      <w:r>
        <w:rPr>
          <w:rFonts w:ascii="Calibri" w:hAnsi="Calibri"/>
          <w:color w:val="525866"/>
          <w:sz w:val="22"/>
        </w:rPr>
        <w:t xml:space="preserve">Experienced “significant raw material volatility associated with higher crude oil prices” and had about “$10 million” in “net unrecovered inflation, primarily resin” in Q2. Successfully implemented commercial actions to recover cost increases, leading to a 7% increase in net sales. </w:t>
      </w:r>
      <w:r>
        <w:rPr>
          <w:rFonts w:ascii="Calibri" w:hAnsi="Calibri"/>
          <w:i/>
          <w:color w:val="525866"/>
          <w:sz w:val="22"/>
        </w:rPr>
        <w:t>AVY read-through: SLGN’s successful pass-through of resin inflation via pricing is a positive read-through for AVY’s own pricing playbook in label materials.</w:t>
      </w:r>
    </w:p>
    <w:p>
      <w:pPr>
        <w:pStyle w:val="Heading3"/>
      </w:pPr>
      <w:r>
        <w:rPr>
          <w:rFonts w:ascii="Calibri" w:hAnsi="Calibri"/>
          <w:b/>
          <w:color w:val="3B4259"/>
          <w:sz w:val="24"/>
        </w:rPr>
        <w:t>8.2 Pricing Environment — Active Pass-Through Underway Across Sector</w:t>
      </w:r>
    </w:p>
    <w:p>
      <w:r>
        <w:rPr>
          <w:rFonts w:ascii="Calibri" w:hAnsi="Calibri"/>
          <w:b/>
          <w:color w:val="525866"/>
          <w:sz w:val="22"/>
        </w:rPr>
        <w:t xml:space="preserve">AVY Relevance: </w:t>
      </w:r>
      <w:r>
        <w:rPr>
          <w:rFonts w:ascii="Calibri" w:hAnsi="Calibri"/>
          <w:color w:val="525866"/>
          <w:sz w:val="22"/>
        </w:rPr>
        <w:t>AVY guided to “low to mid-single-digit price impacts” sequentially from Q1 to Q2 to offset inflation, and expected a “slight overall net price increase in Q2 versus prior year.” Peer commentary confirms that pricing actions are being successfully implemented across the sector in Q2 and Q3, which is supportive of AVY’s ability to execute its own pricing playbook.</w:t>
      </w:r>
    </w:p>
    <w:p>
      <w:pPr>
        <w:pStyle w:val="ListBullet"/>
        <w:ind w:left="360" w:hanging="360"/>
      </w:pPr>
      <w:r>
        <w:rPr>
          <w:rFonts w:ascii="Calibri" w:hAnsi="Calibri"/>
          <w:b/>
          <w:color w:val="525866"/>
          <w:sz w:val="22"/>
        </w:rPr>
        <w:t xml:space="preserve">Smurfit Westrock (SW) — Q2 2026 Earnings Call (Jul 29, 2026): </w:t>
      </w:r>
      <w:r>
        <w:rPr>
          <w:rFonts w:ascii="Calibri" w:hAnsi="Calibri"/>
          <w:color w:val="525866"/>
          <w:sz w:val="22"/>
        </w:rPr>
        <w:t xml:space="preserve">After raising containerboard prices in Q2, the “full effect” will be felt in Q3 and Q4. SW also announced an €80/tonne increase for recycled board to be implemented in September. </w:t>
      </w:r>
      <w:r>
        <w:rPr>
          <w:rFonts w:ascii="Calibri" w:hAnsi="Calibri"/>
          <w:i/>
          <w:color w:val="525866"/>
          <w:sz w:val="22"/>
        </w:rPr>
        <w:t>AVY read-through: Sector-wide pricing momentum is intact; AVY’s own price increases in label materials should face less customer resistance in this environment.</w:t>
      </w:r>
    </w:p>
    <w:p>
      <w:pPr>
        <w:pStyle w:val="ListBullet"/>
        <w:ind w:left="360" w:hanging="360"/>
      </w:pPr>
      <w:r>
        <w:rPr>
          <w:rFonts w:ascii="Calibri" w:hAnsi="Calibri"/>
          <w:b/>
          <w:color w:val="525866"/>
          <w:sz w:val="22"/>
        </w:rPr>
        <w:t xml:space="preserve">Packaging Corp. of America (PKG) — Q2 2026 Earnings Call (Jul 23, 2026): </w:t>
      </w:r>
      <w:r>
        <w:rPr>
          <w:rFonts w:ascii="Calibri" w:hAnsi="Calibri"/>
          <w:color w:val="525866"/>
          <w:sz w:val="22"/>
        </w:rPr>
        <w:t xml:space="preserve">Expects prices for containerboard and corrugated products to “be higher” in Q3 as it realizes two separate announced increases. The “majority of the first increase” is rolling in during July, with the second increase beginning in August. </w:t>
      </w:r>
      <w:r>
        <w:rPr>
          <w:rFonts w:ascii="Calibri" w:hAnsi="Calibri"/>
          <w:i/>
          <w:color w:val="525866"/>
          <w:sz w:val="22"/>
        </w:rPr>
        <w:t>AVY read-through: Staggered pricing realization (Q3/Q4) is consistent with AVY’s own guidance that some carryover sequential inflation will persist into Q3 alongside sequential price benefit.</w:t>
      </w:r>
    </w:p>
    <w:p>
      <w:pPr>
        <w:pStyle w:val="ListBullet"/>
        <w:ind w:left="360" w:hanging="360"/>
      </w:pPr>
      <w:r>
        <w:rPr>
          <w:rFonts w:ascii="Calibri" w:hAnsi="Calibri"/>
          <w:b/>
          <w:color w:val="525866"/>
          <w:sz w:val="22"/>
        </w:rPr>
        <w:t xml:space="preserve">Sonoco Products (SON) — Q2 2026 Earnings Call (Jul 23, 2026): </w:t>
      </w:r>
      <w:r>
        <w:rPr>
          <w:rFonts w:ascii="Calibri" w:hAnsi="Calibri"/>
          <w:color w:val="525866"/>
          <w:sz w:val="22"/>
        </w:rPr>
        <w:t xml:space="preserve">After being “behind the price cost curve in Q2,” SON states: “Recovery mechanisms are now in place to fully offset these costs.” This includes an April price increase fully effective in Q3 and a new $60/ton increase from July 8th. SON feels “really confident in our Q3 recovery of that inflation.” </w:t>
      </w:r>
      <w:r>
        <w:rPr>
          <w:rFonts w:ascii="Calibri" w:hAnsi="Calibri"/>
          <w:i/>
          <w:color w:val="525866"/>
          <w:sz w:val="22"/>
        </w:rPr>
        <w:t>AVY read-through: SON’s confidence in Q3 price recovery mirrors AVY’s own messaging; the key question is whether AVY’s pricing actions are sufficient to offset the magnitude of inflation.</w:t>
      </w:r>
    </w:p>
    <w:p>
      <w:pPr>
        <w:pStyle w:val="Heading3"/>
      </w:pPr>
      <w:r>
        <w:rPr>
          <w:rFonts w:ascii="Calibri" w:hAnsi="Calibri"/>
          <w:b/>
          <w:color w:val="3B4259"/>
          <w:sz w:val="24"/>
        </w:rPr>
        <w:t>8.3 Demand &amp; Volume Conditions — Industrial Strong, Consumer Soft</w:t>
      </w:r>
    </w:p>
    <w:p>
      <w:r>
        <w:rPr>
          <w:rFonts w:ascii="Calibri" w:hAnsi="Calibri"/>
          <w:b/>
          <w:color w:val="525866"/>
          <w:sz w:val="22"/>
        </w:rPr>
        <w:t xml:space="preserve">AVY Relevance: </w:t>
      </w:r>
      <w:r>
        <w:rPr>
          <w:rFonts w:ascii="Calibri" w:hAnsi="Calibri"/>
          <w:color w:val="525866"/>
          <w:sz w:val="22"/>
        </w:rPr>
        <w:t>AVY’s Materials Group serves industrial and consumer label markets; its Solutions Group serves apparel, food, and logistics. Peer commentary on end-market demand is directly relevant to AVY’s volume outlook for Q2 and Q3.</w:t>
      </w:r>
    </w:p>
    <w:p>
      <w:pPr>
        <w:pStyle w:val="ListBullet"/>
        <w:ind w:left="360" w:hanging="360"/>
      </w:pPr>
      <w:r>
        <w:rPr>
          <w:rFonts w:ascii="Calibri" w:hAnsi="Calibri"/>
          <w:b/>
          <w:color w:val="525866"/>
          <w:sz w:val="22"/>
        </w:rPr>
        <w:t xml:space="preserve">Smurfit Westrock (SW) — Q2 2026 Earnings Call (Jul 29, 2026): </w:t>
      </w:r>
      <w:r>
        <w:rPr>
          <w:rFonts w:ascii="Calibri" w:hAnsi="Calibri"/>
          <w:color w:val="525866"/>
          <w:sz w:val="22"/>
        </w:rPr>
        <w:t xml:space="preserve">Market conditions for “practically all paper grades” are “as tight as I can remember.” The North American paper mill system is “fully booked and no commercial downtime is anticipated for the remainder of the year.” Expects corrugated volumes to turn positive in Q3 or Q4 with “good order books and a strong pipeline of new corrugated business moving through August and into September.” </w:t>
      </w:r>
      <w:r>
        <w:rPr>
          <w:rFonts w:ascii="Calibri" w:hAnsi="Calibri"/>
          <w:i/>
          <w:color w:val="525866"/>
          <w:sz w:val="22"/>
        </w:rPr>
        <w:t>AVY read-through: Tight industrial packaging demand is a positive read-through for AVY’s Materials Group base categories (label materials for industrial applications).</w:t>
      </w:r>
    </w:p>
    <w:p>
      <w:pPr>
        <w:pStyle w:val="ListBullet"/>
        <w:ind w:left="360" w:hanging="360"/>
      </w:pPr>
      <w:r>
        <w:rPr>
          <w:rFonts w:ascii="Calibri" w:hAnsi="Calibri"/>
          <w:b/>
          <w:color w:val="525866"/>
          <w:sz w:val="22"/>
        </w:rPr>
        <w:t xml:space="preserve">Packaging Corp. of America (PKG) — Q2 2026 Earnings Call (Jul 23, 2026): </w:t>
      </w:r>
      <w:r>
        <w:rPr>
          <w:rFonts w:ascii="Calibri" w:hAnsi="Calibri"/>
          <w:color w:val="525866"/>
          <w:sz w:val="22"/>
        </w:rPr>
        <w:t xml:space="preserve">Reported “very strong throughout the quarter across our entire customer base.” Q2 shipments were up over 24% in total, with the legacy business up 4.1%, achieving an all-time record for total quarterly shipments. Expects “continued strong demand” in Q3, with legacy business billings up 1.5% so far. Describes the overall market as “tight.” </w:t>
      </w:r>
      <w:r>
        <w:rPr>
          <w:rFonts w:ascii="Calibri" w:hAnsi="Calibri"/>
          <w:i/>
          <w:color w:val="525866"/>
          <w:sz w:val="22"/>
        </w:rPr>
        <w:t>AVY read-through: Strong corrugated demand signals healthy underlying industrial and consumer goods activity, supportive of label materials demand.</w:t>
      </w:r>
    </w:p>
    <w:p>
      <w:pPr>
        <w:pStyle w:val="ListBullet"/>
        <w:ind w:left="360" w:hanging="360"/>
      </w:pPr>
      <w:r>
        <w:rPr>
          <w:rFonts w:ascii="Calibri" w:hAnsi="Calibri"/>
          <w:b/>
          <w:color w:val="525866"/>
          <w:sz w:val="22"/>
        </w:rPr>
        <w:t xml:space="preserve">Reynolds Consumer Products (REYN) — Q2 2026 Earnings Call (Jul 29, 2026): </w:t>
      </w:r>
      <w:r>
        <w:rPr>
          <w:rFonts w:ascii="Calibri" w:hAnsi="Calibri"/>
          <w:color w:val="525866"/>
          <w:sz w:val="22"/>
        </w:rPr>
        <w:t xml:space="preserve">Reported a “highly promotional environment where consumers remain under pressure” in Q2, with retail volumes down 4–5%. Expects the consumer environment to “remain pressured through the second half of the year.” </w:t>
      </w:r>
      <w:r>
        <w:rPr>
          <w:rFonts w:ascii="Calibri" w:hAnsi="Calibri"/>
          <w:i/>
          <w:color w:val="525866"/>
          <w:sz w:val="22"/>
        </w:rPr>
        <w:t>AVY read-through: Consumer pressure is a direct headwind for AVY’s Solutions Group (apparel, general retail) and consistent with management’s cautious tone on apparel volumes.</w:t>
      </w:r>
    </w:p>
    <w:p>
      <w:pPr>
        <w:pStyle w:val="ListBullet"/>
        <w:ind w:left="360" w:hanging="360"/>
      </w:pPr>
      <w:r>
        <w:rPr>
          <w:rFonts w:ascii="Calibri" w:hAnsi="Calibri"/>
          <w:b/>
          <w:color w:val="525866"/>
          <w:sz w:val="22"/>
        </w:rPr>
        <w:t xml:space="preserve">Crown Holdings (CCK) — Q2 2026 Earnings Call (Jul 21, 2026): </w:t>
      </w:r>
      <w:r>
        <w:rPr>
          <w:rFonts w:ascii="Calibri" w:hAnsi="Calibri"/>
          <w:color w:val="525866"/>
          <w:sz w:val="22"/>
        </w:rPr>
        <w:t xml:space="preserve">Global beverage can shipments grew 5% in Q2, with North America up 5% and Europe up 7%. The European market is described as “sold out more or less.” The outlook for Q3 beverage can volumes is “very firm.” </w:t>
      </w:r>
      <w:r>
        <w:rPr>
          <w:rFonts w:ascii="Calibri" w:hAnsi="Calibri"/>
          <w:i/>
          <w:color w:val="525866"/>
          <w:sz w:val="22"/>
        </w:rPr>
        <w:t>AVY read-through: Strong beverage can demand is a positive read-through for AVY’s label materials used in food and beverage packaging.</w:t>
      </w:r>
    </w:p>
    <w:p>
      <w:pPr>
        <w:pStyle w:val="ListBullet"/>
        <w:ind w:left="360" w:hanging="360"/>
      </w:pPr>
      <w:r>
        <w:rPr>
          <w:rFonts w:ascii="Calibri" w:hAnsi="Calibri"/>
          <w:b/>
          <w:color w:val="525866"/>
          <w:sz w:val="22"/>
        </w:rPr>
        <w:t xml:space="preserve">O-I Glass (OI) — Q2 2026 Earnings Call (Jul 29, 2026): </w:t>
      </w:r>
      <w:r>
        <w:rPr>
          <w:rFonts w:ascii="Calibri" w:hAnsi="Calibri"/>
          <w:color w:val="525866"/>
          <w:sz w:val="22"/>
        </w:rPr>
        <w:t xml:space="preserve">Q2 global demand was “softer than expected,” with shipments down 4.5%. However, trends improved through the quarter, and the company expects second-half growth supported by easier comparisons and new business wins. </w:t>
      </w:r>
      <w:r>
        <w:rPr>
          <w:rFonts w:ascii="Calibri" w:hAnsi="Calibri"/>
          <w:i/>
          <w:color w:val="525866"/>
          <w:sz w:val="22"/>
        </w:rPr>
        <w:t>AVY read-through: Glass packaging softness is a modest negative read-through for AVY’s label materials used in glass containers (wine, spirits, food), though this is a smaller portion of AVY’s Materials Group.</w:t>
      </w:r>
    </w:p>
    <w:p>
      <w:pPr>
        <w:pStyle w:val="ListBullet"/>
        <w:ind w:left="360" w:hanging="360"/>
      </w:pPr>
      <w:r>
        <w:rPr>
          <w:rFonts w:ascii="Calibri" w:hAnsi="Calibri"/>
          <w:b/>
          <w:color w:val="525866"/>
          <w:sz w:val="22"/>
        </w:rPr>
        <w:t xml:space="preserve">Ardagh Metal Packaging (AMBP) — Q2 2026 Earnings Call (Jul 23, 2026): </w:t>
      </w:r>
      <w:r>
        <w:rPr>
          <w:rFonts w:ascii="Calibri" w:hAnsi="Calibri"/>
          <w:color w:val="525866"/>
          <w:sz w:val="22"/>
        </w:rPr>
        <w:t xml:space="preserve">Q2 global volumes declined 1%, with North America down 5% and Brazil down 15%. However, the company expects a return to modest global volume growth in H2, noting July volumes in North America are “a bit better.” </w:t>
      </w:r>
      <w:r>
        <w:rPr>
          <w:rFonts w:ascii="Calibri" w:hAnsi="Calibri"/>
          <w:i/>
          <w:color w:val="525866"/>
          <w:sz w:val="22"/>
        </w:rPr>
        <w:t>AVY read-through: Mixed metal packaging volumes suggest uneven consumer demand recovery; consistent with AVY’s cautious H1 volume outlook.</w:t>
      </w:r>
    </w:p>
    <w:p>
      <w:pPr>
        <w:pStyle w:val="Heading3"/>
      </w:pPr>
      <w:r>
        <w:rPr>
          <w:rFonts w:ascii="Calibri" w:hAnsi="Calibri"/>
          <w:b/>
          <w:color w:val="3B4259"/>
          <w:sz w:val="24"/>
        </w:rPr>
        <w:t>8.4 Peer Commentary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Reporting Date</w:t>
            </w:r>
          </w:p>
        </w:tc>
        <w:tc>
          <w:tcPr>
            <w:tcW w:type="dxa" w:w="1728"/>
            <w:shd w:val="clear" w:color="auto" w:fill="3B4259"/>
          </w:tcPr>
          <w:p>
            <w:r>
              <w:rPr>
                <w:rFonts w:ascii="Calibri" w:hAnsi="Calibri"/>
                <w:b/>
                <w:color w:val="FFFFFF"/>
                <w:sz w:val="22"/>
              </w:rPr>
              <w:t>Key Q2 2026 Theme</w:t>
            </w:r>
          </w:p>
        </w:tc>
        <w:tc>
          <w:tcPr>
            <w:tcW w:type="dxa" w:w="1728"/>
            <w:shd w:val="clear" w:color="auto" w:fill="3B4259"/>
          </w:tcPr>
          <w:p>
            <w:r>
              <w:rPr>
                <w:rFonts w:ascii="Calibri" w:hAnsi="Calibri"/>
                <w:b/>
                <w:color w:val="FFFFFF"/>
                <w:sz w:val="22"/>
              </w:rPr>
              <w:t>Q3 2026 Outlook</w:t>
            </w:r>
          </w:p>
        </w:tc>
        <w:tc>
          <w:tcPr>
            <w:tcW w:type="dxa" w:w="1728"/>
            <w:shd w:val="clear" w:color="auto" w:fill="3B4259"/>
          </w:tcPr>
          <w:p>
            <w:r>
              <w:rPr>
                <w:rFonts w:ascii="Calibri" w:hAnsi="Calibri"/>
                <w:b/>
                <w:color w:val="FFFFFF"/>
                <w:sz w:val="22"/>
              </w:rPr>
              <w:t>AVY Read-Through</w:t>
            </w:r>
          </w:p>
        </w:tc>
      </w:tr>
      <w:tr>
        <w:tc>
          <w:tcPr>
            <w:tcW w:type="dxa" w:w="1728"/>
          </w:tcPr>
          <w:p>
            <w:r>
              <w:rPr>
                <w:rFonts w:ascii="Calibri" w:hAnsi="Calibri"/>
                <w:sz w:val="22"/>
              </w:rPr>
              <w:t>Smurfit Westrock (SW)</w:t>
            </w:r>
          </w:p>
        </w:tc>
        <w:tc>
          <w:tcPr>
            <w:tcW w:type="dxa" w:w="1728"/>
          </w:tcPr>
          <w:p>
            <w:r>
              <w:rPr>
                <w:rFonts w:ascii="Calibri" w:hAnsi="Calibri"/>
                <w:sz w:val="22"/>
              </w:rPr>
              <w:t>Jul 29, 2026</w:t>
            </w:r>
          </w:p>
        </w:tc>
        <w:tc>
          <w:tcPr>
            <w:tcW w:type="dxa" w:w="1728"/>
          </w:tcPr>
          <w:p>
            <w:r>
              <w:rPr>
                <w:rFonts w:ascii="Calibri" w:hAnsi="Calibri"/>
                <w:sz w:val="22"/>
              </w:rPr>
              <w:t>Paper markets “as tight as I can remember”; $300M freight headwind YoY; raised containerboard prices</w:t>
            </w:r>
          </w:p>
        </w:tc>
        <w:tc>
          <w:tcPr>
            <w:tcW w:type="dxa" w:w="1728"/>
          </w:tcPr>
          <w:p>
            <w:r>
              <w:rPr>
                <w:rFonts w:ascii="Calibri" w:hAnsi="Calibri"/>
                <w:sz w:val="22"/>
              </w:rPr>
              <w:t>Full pricing effect in Q3/Q4; €80/tonne recycled board increase in September; volumes expected to turn positive</w:t>
            </w:r>
          </w:p>
        </w:tc>
        <w:tc>
          <w:tcPr>
            <w:tcW w:type="dxa" w:w="1728"/>
          </w:tcPr>
          <w:p>
            <w:r>
              <w:rPr>
                <w:rFonts w:ascii="Calibri" w:hAnsi="Calibri"/>
                <w:sz w:val="22"/>
              </w:rPr>
              <w:t>Negative: Freight/energy inflation confirms AVY’s cost headwind is real and persistent; Positive: Pricing pass-through is working</w:t>
            </w:r>
          </w:p>
        </w:tc>
      </w:tr>
      <w:tr>
        <w:tc>
          <w:tcPr>
            <w:tcW w:type="dxa" w:w="1728"/>
          </w:tcPr>
          <w:p>
            <w:r>
              <w:rPr>
                <w:rFonts w:ascii="Calibri" w:hAnsi="Calibri"/>
                <w:sz w:val="22"/>
              </w:rPr>
              <w:t>Packaging Corp. (PKG)</w:t>
            </w:r>
          </w:p>
        </w:tc>
        <w:tc>
          <w:tcPr>
            <w:tcW w:type="dxa" w:w="1728"/>
          </w:tcPr>
          <w:p>
            <w:r>
              <w:rPr>
                <w:rFonts w:ascii="Calibri" w:hAnsi="Calibri"/>
                <w:sz w:val="22"/>
              </w:rPr>
              <w:t>Jul 23, 2026</w:t>
            </w:r>
          </w:p>
        </w:tc>
        <w:tc>
          <w:tcPr>
            <w:tcW w:type="dxa" w:w="1728"/>
          </w:tcPr>
          <w:p>
            <w:r>
              <w:rPr>
                <w:rFonts w:ascii="Calibri" w:hAnsi="Calibri"/>
                <w:sz w:val="22"/>
              </w:rPr>
              <w:t>Record Q2 shipments (+24% total); OCC fiber up ~70% YTD; elevated freight costs ($0.26/share impact)</w:t>
            </w:r>
          </w:p>
        </w:tc>
        <w:tc>
          <w:tcPr>
            <w:tcW w:type="dxa" w:w="1728"/>
          </w:tcPr>
          <w:p>
            <w:r>
              <w:rPr>
                <w:rFonts w:ascii="Calibri" w:hAnsi="Calibri"/>
                <w:sz w:val="22"/>
              </w:rPr>
              <w:t>Two price increases rolling in Q3/Q4; “continued strong demand”; billings up 1.5% so far in Q3</w:t>
            </w:r>
          </w:p>
        </w:tc>
        <w:tc>
          <w:tcPr>
            <w:tcW w:type="dxa" w:w="1728"/>
          </w:tcPr>
          <w:p>
            <w:r>
              <w:rPr>
                <w:rFonts w:ascii="Calibri" w:hAnsi="Calibri"/>
                <w:sz w:val="22"/>
              </w:rPr>
              <w:t>Positive: Strong industrial demand supports label materials volumes; Negative: Commodity inflation not abating</w:t>
            </w:r>
          </w:p>
        </w:tc>
      </w:tr>
      <w:tr>
        <w:tc>
          <w:tcPr>
            <w:tcW w:type="dxa" w:w="1728"/>
          </w:tcPr>
          <w:p>
            <w:r>
              <w:rPr>
                <w:rFonts w:ascii="Calibri" w:hAnsi="Calibri"/>
                <w:sz w:val="22"/>
              </w:rPr>
              <w:t>Sonoco Products (SON)</w:t>
            </w:r>
          </w:p>
        </w:tc>
        <w:tc>
          <w:tcPr>
            <w:tcW w:type="dxa" w:w="1728"/>
          </w:tcPr>
          <w:p>
            <w:r>
              <w:rPr>
                <w:rFonts w:ascii="Calibri" w:hAnsi="Calibri"/>
                <w:sz w:val="22"/>
              </w:rPr>
              <w:t>Jul 23, 2026</w:t>
            </w:r>
          </w:p>
        </w:tc>
        <w:tc>
          <w:tcPr>
            <w:tcW w:type="dxa" w:w="1728"/>
          </w:tcPr>
          <w:p>
            <w:r>
              <w:rPr>
                <w:rFonts w:ascii="Calibri" w:hAnsi="Calibri"/>
                <w:sz w:val="22"/>
              </w:rPr>
              <w:t>Industrial volumes up 10% (AI data center wire/cable demand); “behind price-cost curve in Q2”; $10M energy inflation hit</w:t>
            </w:r>
          </w:p>
        </w:tc>
        <w:tc>
          <w:tcPr>
            <w:tcW w:type="dxa" w:w="1728"/>
          </w:tcPr>
          <w:p>
            <w:r>
              <w:rPr>
                <w:rFonts w:ascii="Calibri" w:hAnsi="Calibri"/>
                <w:sz w:val="22"/>
              </w:rPr>
              <w:t>Price recovery mechanisms in place; $60/ton increase from Jul 8; “confident in Q3 recovery”</w:t>
            </w:r>
          </w:p>
        </w:tc>
        <w:tc>
          <w:tcPr>
            <w:tcW w:type="dxa" w:w="1728"/>
          </w:tcPr>
          <w:p>
            <w:r>
              <w:rPr>
                <w:rFonts w:ascii="Calibri" w:hAnsi="Calibri"/>
                <w:sz w:val="22"/>
              </w:rPr>
              <w:t>Mixed: Price-cost lag in Q2 is a risk flag; Q3 recovery confidence is supportive of AVY’s own pricing narrative</w:t>
            </w:r>
          </w:p>
        </w:tc>
      </w:tr>
      <w:tr>
        <w:tc>
          <w:tcPr>
            <w:tcW w:type="dxa" w:w="1728"/>
          </w:tcPr>
          <w:p>
            <w:r>
              <w:rPr>
                <w:rFonts w:ascii="Calibri" w:hAnsi="Calibri"/>
                <w:sz w:val="22"/>
              </w:rPr>
              <w:t>Reynolds Consumer (REYN)</w:t>
            </w:r>
          </w:p>
        </w:tc>
        <w:tc>
          <w:tcPr>
            <w:tcW w:type="dxa" w:w="1728"/>
          </w:tcPr>
          <w:p>
            <w:r>
              <w:rPr>
                <w:rFonts w:ascii="Calibri" w:hAnsi="Calibri"/>
                <w:sz w:val="22"/>
              </w:rPr>
              <w:t>Jul 29, 2026</w:t>
            </w:r>
          </w:p>
        </w:tc>
        <w:tc>
          <w:tcPr>
            <w:tcW w:type="dxa" w:w="1728"/>
          </w:tcPr>
          <w:p>
            <w:r>
              <w:rPr>
                <w:rFonts w:ascii="Calibri" w:hAnsi="Calibri"/>
                <w:sz w:val="22"/>
              </w:rPr>
              <w:t>Consumer “under pressure”; retail volumes down 4–5%; commodity headwind doubled from $200M to $400M annualized</w:t>
            </w:r>
          </w:p>
        </w:tc>
        <w:tc>
          <w:tcPr>
            <w:tcW w:type="dxa" w:w="1728"/>
          </w:tcPr>
          <w:p>
            <w:r>
              <w:rPr>
                <w:rFonts w:ascii="Calibri" w:hAnsi="Calibri"/>
                <w:sz w:val="22"/>
              </w:rPr>
              <w:t>Consumer environment “remain pressured through H2”; first resin pricing actions initiated in July</w:t>
            </w:r>
          </w:p>
        </w:tc>
        <w:tc>
          <w:tcPr>
            <w:tcW w:type="dxa" w:w="1728"/>
          </w:tcPr>
          <w:p>
            <w:r>
              <w:rPr>
                <w:rFonts w:ascii="Calibri" w:hAnsi="Calibri"/>
                <w:sz w:val="22"/>
              </w:rPr>
              <w:t>Negative: Consumer softness is a direct headwind for AVY’s Solutions Group; commodity headwind doubling is a cautionary signal</w:t>
            </w:r>
          </w:p>
        </w:tc>
      </w:tr>
      <w:tr>
        <w:tc>
          <w:tcPr>
            <w:tcW w:type="dxa" w:w="1728"/>
          </w:tcPr>
          <w:p>
            <w:r>
              <w:rPr>
                <w:rFonts w:ascii="Calibri" w:hAnsi="Calibri"/>
                <w:sz w:val="22"/>
              </w:rPr>
              <w:t>Crown Holdings (CCK)</w:t>
            </w:r>
          </w:p>
        </w:tc>
        <w:tc>
          <w:tcPr>
            <w:tcW w:type="dxa" w:w="1728"/>
          </w:tcPr>
          <w:p>
            <w:r>
              <w:rPr>
                <w:rFonts w:ascii="Calibri" w:hAnsi="Calibri"/>
                <w:sz w:val="22"/>
              </w:rPr>
              <w:t>Jul 21, 2026</w:t>
            </w:r>
          </w:p>
        </w:tc>
        <w:tc>
          <w:tcPr>
            <w:tcW w:type="dxa" w:w="1728"/>
          </w:tcPr>
          <w:p>
            <w:r>
              <w:rPr>
                <w:rFonts w:ascii="Calibri" w:hAnsi="Calibri"/>
                <w:sz w:val="22"/>
              </w:rPr>
              <w:t>Beverage cans up 5% globally; transit packaging flat; Middle East crisis driving freight/energy inflation</w:t>
            </w:r>
          </w:p>
        </w:tc>
        <w:tc>
          <w:tcPr>
            <w:tcW w:type="dxa" w:w="1728"/>
          </w:tcPr>
          <w:p>
            <w:r>
              <w:rPr>
                <w:rFonts w:ascii="Calibri" w:hAnsi="Calibri"/>
                <w:sz w:val="22"/>
              </w:rPr>
              <w:t>Beverage can volumes “very firm”; H2 inflation to run “ahead of cost recovery mechanisms” until year-end reset</w:t>
            </w:r>
          </w:p>
        </w:tc>
        <w:tc>
          <w:tcPr>
            <w:tcW w:type="dxa" w:w="1728"/>
          </w:tcPr>
          <w:p>
            <w:r>
              <w:rPr>
                <w:rFonts w:ascii="Calibri" w:hAnsi="Calibri"/>
                <w:sz w:val="22"/>
              </w:rPr>
              <w:t>Positive: Beverage demand supports label materials; Negative: Cost recovery lag into H2 is a risk for AVY’s margin guidance</w:t>
            </w:r>
          </w:p>
        </w:tc>
      </w:tr>
      <w:tr>
        <w:tc>
          <w:tcPr>
            <w:tcW w:type="dxa" w:w="1728"/>
          </w:tcPr>
          <w:p>
            <w:r>
              <w:rPr>
                <w:rFonts w:ascii="Calibri" w:hAnsi="Calibri"/>
                <w:sz w:val="22"/>
              </w:rPr>
              <w:t>Silgan Holdings (SLGN)</w:t>
            </w:r>
          </w:p>
        </w:tc>
        <w:tc>
          <w:tcPr>
            <w:tcW w:type="dxa" w:w="1728"/>
          </w:tcPr>
          <w:p>
            <w:r>
              <w:rPr>
                <w:rFonts w:ascii="Calibri" w:hAnsi="Calibri"/>
                <w:sz w:val="22"/>
              </w:rPr>
              <w:t>Jul 29, 2026</w:t>
            </w:r>
          </w:p>
        </w:tc>
        <w:tc>
          <w:tcPr>
            <w:tcW w:type="dxa" w:w="1728"/>
          </w:tcPr>
          <w:p>
            <w:r>
              <w:rPr>
                <w:rFonts w:ascii="Calibri" w:hAnsi="Calibri"/>
                <w:sz w:val="22"/>
              </w:rPr>
              <w:t>Net sales +7% via pricing pass-through; $10M net unrecovered resin inflation in Q2; wet pet food volumes up 7%</w:t>
            </w:r>
          </w:p>
        </w:tc>
        <w:tc>
          <w:tcPr>
            <w:tcW w:type="dxa" w:w="1728"/>
          </w:tcPr>
          <w:p>
            <w:r>
              <w:rPr>
                <w:rFonts w:ascii="Calibri" w:hAnsi="Calibri"/>
                <w:sz w:val="22"/>
              </w:rPr>
              <w:t>Low-to-mid single digit volume growth for metal containers in Q3; commercial actions implemented to recover costs</w:t>
            </w:r>
          </w:p>
        </w:tc>
        <w:tc>
          <w:tcPr>
            <w:tcW w:type="dxa" w:w="1728"/>
          </w:tcPr>
          <w:p>
            <w:r>
              <w:rPr>
                <w:rFonts w:ascii="Calibri" w:hAnsi="Calibri"/>
                <w:sz w:val="22"/>
              </w:rPr>
              <w:t>Positive: Successful resin inflation pass-through validates AVY’s pricing playbook for petrochemical-linked inputs</w:t>
            </w:r>
          </w:p>
        </w:tc>
      </w:tr>
      <w:tr>
        <w:tc>
          <w:tcPr>
            <w:tcW w:type="dxa" w:w="1728"/>
          </w:tcPr>
          <w:p>
            <w:r>
              <w:rPr>
                <w:rFonts w:ascii="Calibri" w:hAnsi="Calibri"/>
                <w:sz w:val="22"/>
              </w:rPr>
              <w:t>O-I Glass (OI)</w:t>
            </w:r>
          </w:p>
        </w:tc>
        <w:tc>
          <w:tcPr>
            <w:tcW w:type="dxa" w:w="1728"/>
          </w:tcPr>
          <w:p>
            <w:r>
              <w:rPr>
                <w:rFonts w:ascii="Calibri" w:hAnsi="Calibri"/>
                <w:sz w:val="22"/>
              </w:rPr>
              <w:t>Jul 29, 2026</w:t>
            </w:r>
          </w:p>
        </w:tc>
        <w:tc>
          <w:tcPr>
            <w:tcW w:type="dxa" w:w="1728"/>
          </w:tcPr>
          <w:p>
            <w:r>
              <w:rPr>
                <w:rFonts w:ascii="Calibri" w:hAnsi="Calibri"/>
                <w:sz w:val="22"/>
              </w:rPr>
              <w:t>Global shipments down 4.5%; demand “softer than expected”; trends improved through quarter</w:t>
            </w:r>
          </w:p>
        </w:tc>
        <w:tc>
          <w:tcPr>
            <w:tcW w:type="dxa" w:w="1728"/>
          </w:tcPr>
          <w:p>
            <w:r>
              <w:rPr>
                <w:rFonts w:ascii="Calibri" w:hAnsi="Calibri"/>
                <w:sz w:val="22"/>
              </w:rPr>
              <w:t>Expects H2 growth on easier comps and new business wins</w:t>
            </w:r>
          </w:p>
        </w:tc>
        <w:tc>
          <w:tcPr>
            <w:tcW w:type="dxa" w:w="1728"/>
          </w:tcPr>
          <w:p>
            <w:r>
              <w:rPr>
                <w:rFonts w:ascii="Calibri" w:hAnsi="Calibri"/>
                <w:sz w:val="22"/>
              </w:rPr>
              <w:t>Modest negative: Glass packaging softness is a minor headwind for AVY’s label materials in wine/spirits/food glass</w:t>
            </w:r>
          </w:p>
        </w:tc>
      </w:tr>
      <w:tr>
        <w:tc>
          <w:tcPr>
            <w:tcW w:type="dxa" w:w="1728"/>
          </w:tcPr>
          <w:p>
            <w:r>
              <w:rPr>
                <w:rFonts w:ascii="Calibri" w:hAnsi="Calibri"/>
                <w:sz w:val="22"/>
              </w:rPr>
              <w:t>Ardagh Metal (AMBP)</w:t>
            </w:r>
          </w:p>
        </w:tc>
        <w:tc>
          <w:tcPr>
            <w:tcW w:type="dxa" w:w="1728"/>
          </w:tcPr>
          <w:p>
            <w:r>
              <w:rPr>
                <w:rFonts w:ascii="Calibri" w:hAnsi="Calibri"/>
                <w:sz w:val="22"/>
              </w:rPr>
              <w:t>Jul 23, 2026</w:t>
            </w:r>
          </w:p>
        </w:tc>
        <w:tc>
          <w:tcPr>
            <w:tcW w:type="dxa" w:w="1728"/>
          </w:tcPr>
          <w:p>
            <w:r>
              <w:rPr>
                <w:rFonts w:ascii="Calibri" w:hAnsi="Calibri"/>
                <w:sz w:val="22"/>
              </w:rPr>
              <w:t>Global volumes down 1%; North America down 5%; Brazil down 15%; freight/oil inflation headwinds</w:t>
            </w:r>
          </w:p>
        </w:tc>
        <w:tc>
          <w:tcPr>
            <w:tcW w:type="dxa" w:w="1728"/>
          </w:tcPr>
          <w:p>
            <w:r>
              <w:rPr>
                <w:rFonts w:ascii="Calibri" w:hAnsi="Calibri"/>
                <w:sz w:val="22"/>
              </w:rPr>
              <w:t>Expects return to modest global volume growth in H2; July North America volumes “a bit better”</w:t>
            </w:r>
          </w:p>
        </w:tc>
        <w:tc>
          <w:tcPr>
            <w:tcW w:type="dxa" w:w="1728"/>
          </w:tcPr>
          <w:p>
            <w:r>
              <w:rPr>
                <w:rFonts w:ascii="Calibri" w:hAnsi="Calibri"/>
                <w:sz w:val="22"/>
              </w:rPr>
              <w:t>Neutral: Mixed metal packaging volumes consistent with AVY’s cautious H1 consumer volume outlook</w:t>
            </w:r>
          </w:p>
        </w:tc>
      </w:tr>
    </w:tbl>
    <w:p>
      <w:r>
        <w:rPr>
          <w:rFonts w:ascii="Calibri" w:hAnsi="Calibri"/>
          <w:i/>
          <w:color w:val="525866"/>
          <w:sz w:val="22"/>
        </w:rPr>
        <w:t>Sources: Q2 2026 earnings call transcripts and releases for SW (Jul 29, 2026), PKG (Jul 23, 2026), SON (Jul 23, 2026), REYN (Jul 29, 2026), CCK (Jul 21, 2026), SLGN (Jul 29, 2026), OI (Jul 29, 2026), AMBP (Jul 23, 2026). All commentary reflects Q2 2026 reported conditions and Q3 2026 forward guidance only.</w:t>
      </w:r>
    </w:p>
    <w:p>
      <w:pPr>
        <w:pStyle w:val="Heading3"/>
      </w:pPr>
      <w:r>
        <w:rPr>
          <w:rFonts w:ascii="Calibri" w:hAnsi="Calibri"/>
          <w:b/>
          <w:color w:val="3B4259"/>
          <w:sz w:val="24"/>
        </w:rPr>
        <w:t>Overall Peer Read-Through Assessment for AVY Q2 2026</w:t>
      </w:r>
    </w:p>
    <w:p>
      <w:pPr>
        <w:pStyle w:val="ListBullet"/>
        <w:ind w:left="360" w:hanging="360"/>
      </w:pPr>
      <w:r>
        <w:rPr>
          <w:rFonts w:ascii="Calibri" w:hAnsi="Calibri"/>
          <w:b/>
          <w:color w:val="525866"/>
          <w:sz w:val="22"/>
        </w:rPr>
        <w:t xml:space="preserve">Inflation risk is real and broad-based: </w:t>
      </w:r>
      <w:r>
        <w:rPr>
          <w:rFonts w:ascii="Calibri" w:hAnsi="Calibri"/>
          <w:color w:val="525866"/>
          <w:sz w:val="22"/>
        </w:rPr>
        <w:t>Every peer confirmed significant raw material and freight inflation in Q2 2026, driven by Middle East conflict (energy/freight) and petrochemical price increases. REYN’s doubling of its commodity headwind estimate from April to July is the most cautionary data point — it suggests AVY’s April 28 inflation assumptions may be conservative on the downside.</w:t>
      </w:r>
    </w:p>
    <w:p>
      <w:pPr>
        <w:pStyle w:val="ListBullet"/>
        <w:ind w:left="360" w:hanging="360"/>
      </w:pPr>
      <w:r>
        <w:rPr>
          <w:rFonts w:ascii="Calibri" w:hAnsi="Calibri"/>
          <w:b/>
          <w:color w:val="525866"/>
          <w:sz w:val="22"/>
        </w:rPr>
        <w:t xml:space="preserve">Pricing pass-through is working: </w:t>
      </w:r>
      <w:r>
        <w:rPr>
          <w:rFonts w:ascii="Calibri" w:hAnsi="Calibri"/>
          <w:color w:val="525866"/>
          <w:sz w:val="22"/>
        </w:rPr>
        <w:t>SW, PKG, SON, and SLGN all successfully implemented price increases in Q2 and are rolling additional increases into Q3. This is supportive of AVY’s confidence in its own pricing playbook and its guidance for a “slight overall net price increase in Q2 versus prior year.”</w:t>
      </w:r>
    </w:p>
    <w:p>
      <w:pPr>
        <w:pStyle w:val="ListBullet"/>
        <w:ind w:left="360" w:hanging="360"/>
      </w:pPr>
      <w:r>
        <w:rPr>
          <w:rFonts w:ascii="Calibri" w:hAnsi="Calibri"/>
          <w:b/>
          <w:color w:val="525866"/>
          <w:sz w:val="22"/>
        </w:rPr>
        <w:t xml:space="preserve">Consumer end-markets remain soft: </w:t>
      </w:r>
      <w:r>
        <w:rPr>
          <w:rFonts w:ascii="Calibri" w:hAnsi="Calibri"/>
          <w:color w:val="525866"/>
          <w:sz w:val="22"/>
        </w:rPr>
        <w:t>REYN’s “highly promotional environment” and retail volumes down 4–5% is consistent with AVY’s cautious tone on apparel and general retail in the Solutions Group. No peer is calling a consumer recovery in H2 2026.</w:t>
      </w:r>
    </w:p>
    <w:p>
      <w:pPr>
        <w:pStyle w:val="ListBullet"/>
        <w:ind w:left="360" w:hanging="360"/>
      </w:pPr>
      <w:r>
        <w:rPr>
          <w:rFonts w:ascii="Calibri" w:hAnsi="Calibri"/>
          <w:b/>
          <w:color w:val="525866"/>
          <w:sz w:val="22"/>
        </w:rPr>
        <w:t xml:space="preserve">Industrial demand is a bright spot: </w:t>
      </w:r>
      <w:r>
        <w:rPr>
          <w:rFonts w:ascii="Calibri" w:hAnsi="Calibri"/>
          <w:color w:val="525866"/>
          <w:sz w:val="22"/>
        </w:rPr>
        <w:t>SW’s “tightest paper markets I can remember” and PKG’s record shipments are positive read-throughs for AVY’s Materials Group base categories, which serve industrial label applications.</w:t>
      </w:r>
    </w:p>
    <w:p>
      <w:pPr>
        <w:pStyle w:val="ListBullet"/>
        <w:ind w:left="360" w:hanging="360"/>
      </w:pPr>
      <w:r>
        <w:rPr>
          <w:rFonts w:ascii="Calibri" w:hAnsi="Calibri"/>
          <w:b/>
          <w:color w:val="525866"/>
          <w:sz w:val="22"/>
        </w:rPr>
        <w:t xml:space="preserve">H2 recovery narrative is intact but back-end loaded: </w:t>
      </w:r>
      <w:r>
        <w:rPr>
          <w:rFonts w:ascii="Calibri" w:hAnsi="Calibri"/>
          <w:color w:val="525866"/>
          <w:sz w:val="22"/>
        </w:rPr>
        <w:t>Most peers expect H2 to be better than H1, driven by pricing realization and easier comps — consistent with AVY’s own guidance for sequential earnings growth through the year. The risk is that the recovery is slower than expected if inflation persists above cost recovery mechanisms.</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