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wk-earnings-predictions--2026-07-29"/>
    <w:p>
      <w:pPr>
        <w:pStyle w:val="Heading1"/>
      </w:pPr>
      <w:r>
        <w:t xml:space="preserve">AWK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AWK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~$1.58 vs. cons $1.59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AWK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~$1.265B vs. cons $1.28B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AWK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O&amp;M Expense / Operating Margin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~34.5% O&amp;M ratio (higher cost) vs. cons ~33.5% implied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AWK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6.02</m:t>
              </m:r>
              <m:r>
                <m:rPr>
                  <m:sty m:val="p"/>
                </m:rPr>
                <m:t>−</m:t>
              </m:r>
            </m:oMath>
            <w:r>
              <w:t xml:space="preserve">6.12 (reaffirmed) vs. cons $6.07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AWK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Long-term EPS/Dividend Growth Algorithm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~7-9% vs. cons 7-9% (multi-year, through 2030)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AWK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Equity Issuance Need (post-CAMT refresh signal)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~reduced/smaller forward equity plan vs. cons prior ~$1B+ annual equity assumption (FY2026-2027)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AWK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-0.6%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AWK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-0.3% (STABILIZE)</w:t>
            </w:r>
          </w:p>
        </w:tc>
        <w:tc>
          <w:tcPr/>
          <w:p>
            <w:pPr>
              <w:pStyle w:val="Compact"/>
            </w:pPr>
            <w:r>
              <w:t xml:space="preserve">Q2 is a known back-half-loaded setup (PA rates effective Aug, NJ fall) so an in-line/slight-miss Q2 with reaffirmed full-year guidance shouldn't trigger material estimate cuts; the PA rate order and Nexus deal are already known positives, capping downside, while O&amp;M cost pressure and no explicit beat limit upside, so initial modest weakness likely stabilizes rather than compounds as investors wait for H2 rate recovery and CAMT/equity update at Q3.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2026-07-29T01:51:09Z</dcterms:created>
  <dcterms:modified xsi:type="dcterms:W3CDTF">2026-07-29T01:51:09Z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