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wk-earnings-predictions--2026-07-29"/>
    <w:p>
      <w:pPr>
        <w:pStyle w:val="Heading1"/>
      </w:pPr>
      <w:r>
        <w:t xml:space="preserve">AWK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AWK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~$1.62 vs. cons $1.59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AWK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~$1.35B vs. cons $1.34B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AWK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EBITDA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~$722M vs. cons $719M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AWK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6.02</m:t>
              </m:r>
              <m:r>
                <m:rPr>
                  <m:sty m:val="p"/>
                </m:rPr>
                <m:t>−</m:t>
              </m:r>
            </m:oMath>
            <w:r>
              <w:t xml:space="preserve">6.12 (midpoint $6.07) vs. cons $6.09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AWK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capital investment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~$3.70B vs. cons $3.70B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AWK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Long-term adjusted EPS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~8.0% midpoint vs. cons 8.0% (2026-2030)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AWK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AWK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-2.8% (FOLLOW-THROUGH)</w:t>
            </w:r>
          </w:p>
        </w:tc>
        <w:tc>
          <w:tcPr/>
          <w:p>
            <w:pPr>
              <w:pStyle w:val="Compact"/>
            </w:pPr>
            <w:r>
              <w:t xml:space="preserve">A modest Q2 beat is likely outweighed by FY2026 guidance midpoint ~$6.07 vs. consensus $6.09 and approximately</w:t>
            </w:r>
            <w:r>
              <w:t xml:space="preserve"> </w:t>
            </w:r>
            <m:oMath>
              <m:r>
                <m:t>74.9</m:t>
              </m:r>
              <m:r>
                <m:t>M</m:t>
              </m:r>
              <m:r>
                <m:t>o</m:t>
              </m:r>
              <m:r>
                <m:t>f</m:t>
              </m:r>
              <m:r>
                <m:t>a</m:t>
              </m:r>
              <m:r>
                <m:t>u</m:t>
              </m:r>
              <m:r>
                <m:t>t</m:t>
              </m:r>
              <m:r>
                <m:t>h</m:t>
              </m:r>
              <m:r>
                <m:t>o</m:t>
              </m:r>
              <m:r>
                <m:t>r</m:t>
              </m:r>
              <m:r>
                <m:t>i</m:t>
              </m:r>
              <m:r>
                <m:t>z</m:t>
              </m:r>
              <m:r>
                <m:t>e</m:t>
              </m:r>
              <m:r>
                <m:t>d</m:t>
              </m:r>
              <m:r>
                <m:t>P</m:t>
              </m:r>
              <m:r>
                <m:t>e</m:t>
              </m:r>
              <m:r>
                <m:t>n</m:t>
              </m:r>
              <m:r>
                <m:t>n</m:t>
              </m:r>
              <m:r>
                <m:t>s</m:t>
              </m:r>
              <m:r>
                <m:t>y</m:t>
              </m:r>
              <m:r>
                <m:t>l</m:t>
              </m:r>
              <m:r>
                <m:t>v</m:t>
              </m:r>
              <m:r>
                <m:t>a</m:t>
              </m:r>
              <m:r>
                <m:t>n</m:t>
              </m:r>
              <m:r>
                <m:t>i</m:t>
              </m:r>
              <m:r>
                <m:t>a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t</m:t>
              </m:r>
              <m:r>
                <m:t>h</m:t>
              </m:r>
              <m:r>
                <m:t>e</m:t>
              </m:r>
              <m:r>
                <m:t>u</m:t>
              </m:r>
              <m:r>
                <m:t>p</m:t>
              </m:r>
              <m:r>
                <m:t>d</m:t>
              </m:r>
              <m:r>
                <m:t>a</m:t>
              </m:r>
              <m:r>
                <m:t>t</m:t>
              </m:r>
              <m:r>
                <m:t>e</m:t>
              </m:r>
              <m:r>
                <m:t>d</m:t>
              </m:r>
              <m:r>
                <m:t> </m:t>
              </m:r>
            </m:oMath>
            <w:r>
              <w:t xml:space="preserve">159.6M request; the out-period math should produce incremental FY2026-FY2027 estimate cuts as analysts incorporate lower Pennsylvania revenue and continued New Jersey timing risk.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2026-07-29T01:53:33Z</dcterms:created>
  <dcterms:modified xsi:type="dcterms:W3CDTF">2026-07-29T01:53:33Z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