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awk-2026-q2-earnings-preview"/>
    <w:p>
      <w:pPr>
        <w:pStyle w:val="Heading1"/>
      </w:pPr>
      <w:r>
        <w:t xml:space="preserve">AWK 2026 Q2 Earnings Preview</w:t>
      </w:r>
    </w:p>
    <w:p>
      <w:pPr>
        <w:pStyle w:val="BlockText"/>
      </w:pPr>
      <w:r>
        <w:rPr>
          <w:b/>
          <w:bCs/>
        </w:rPr>
        <w:t xml:space="preserve">Timing clarification:</w:t>
      </w:r>
      <w:r>
        <w:t xml:space="preserve"> </w:t>
      </w:r>
      <w:r>
        <w:t xml:space="preserve">American Water will release its second-quarter results</w:t>
      </w:r>
      <w:r>
        <w:t xml:space="preserve"> </w:t>
      </w:r>
      <w:r>
        <w:rPr>
          <w:b/>
          <w:bCs/>
        </w:rPr>
        <w:t xml:space="preserve">after the market closes today, Wednesday, July 29, 2026</w:t>
      </w:r>
      <w:r>
        <w:t xml:space="preserve">. The earnings call is</w:t>
      </w:r>
      <w:r>
        <w:t xml:space="preserve"> </w:t>
      </w:r>
      <w:r>
        <w:rPr>
          <w:b/>
          <w:bCs/>
        </w:rPr>
        <w:t xml:space="preserve">tomorrow, Thursday, July 30, at 9:00 a.m. ET</w:t>
      </w:r>
      <w:r>
        <w:t xml:space="preserve">. (</w:t>
      </w:r>
      <w:hyperlink r:id="rId9">
        <w:r>
          <w:rPr>
            <w:rStyle w:val="Hyperlink"/>
          </w:rPr>
          <w:t xml:space="preserve">ir.amwater.com</w:t>
        </w:r>
      </w:hyperlink>
      <w:r>
        <w:t xml:space="preserve">)</w:t>
      </w:r>
    </w:p>
    <w:bookmarkStart w:id="11" w:name="preview-snapshot"/>
    <w:p>
      <w:pPr>
        <w:pStyle w:val="Heading2"/>
      </w:pPr>
      <w:r>
        <w:t xml:space="preserve">Preview snapshot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jc w:val="right"/>
            </w:pPr>
            <w:r>
              <w:t xml:space="preserve">Expectation / latest figure</w:t>
            </w:r>
          </w:p>
        </w:tc>
      </w:tr>
      <w:tr>
        <w:tc>
          <w:tcPr/>
          <w:p>
            <w:pPr>
              <w:pStyle w:val="Compact"/>
            </w:pPr>
            <w:r>
              <w:t xml:space="preserve">Q2 adjusted EPS consensus</w:t>
            </w:r>
          </w:p>
        </w:tc>
        <w:tc>
          <w:tcPr/>
          <w:p>
            <w:pPr>
              <w:pStyle w:val="Compact"/>
              <w:jc w:val="right"/>
            </w:pPr>
            <w:r>
              <w:t xml:space="preserve">Approximately</w:t>
            </w:r>
            <w:r>
              <w:t xml:space="preserve"> </w:t>
            </w:r>
            <m:oMath>
              <m:r>
                <m:t>1.58</m:t>
              </m:r>
              <m:r>
                <m:rPr>
                  <m:sty m:val="p"/>
                </m:rPr>
                <m:t>–</m:t>
              </m:r>
            </m:oMath>
            <w:r>
              <w:rPr>
                <w:b/>
                <w:bCs/>
              </w:rPr>
              <w:t xml:space="preserve">1.59</w:t>
            </w:r>
          </w:p>
        </w:tc>
      </w:tr>
      <w:tr>
        <w:tc>
          <w:tcPr/>
          <w:p>
            <w:pPr>
              <w:pStyle w:val="Compact"/>
            </w:pPr>
            <w:r>
              <w:t xml:space="preserve">Q2 revenue consensus</w:t>
            </w:r>
          </w:p>
        </w:tc>
        <w:tc>
          <w:tcPr/>
          <w:p>
            <w:pPr>
              <w:pStyle w:val="Compact"/>
              <w:jc w:val="right"/>
            </w:pPr>
            <w:r>
              <w:t xml:space="preserve">Approximately</w:t>
            </w:r>
            <w:r>
              <w:t xml:space="preserve"> </w:t>
            </w:r>
            <w:r>
              <w:rPr>
                <w:b/>
                <w:bCs/>
              </w:rPr>
              <w:t xml:space="preserve">$1.34 billion</w:t>
            </w:r>
          </w:p>
        </w:tc>
      </w:tr>
      <w:tr>
        <w:tc>
          <w:tcPr/>
          <w:p>
            <w:pPr>
              <w:pStyle w:val="Compact"/>
            </w:pPr>
            <w:r>
              <w:t xml:space="preserve">Q2 2025 EPS</w:t>
            </w:r>
          </w:p>
        </w:tc>
        <w:tc>
          <w:tcPr/>
          <w:p>
            <w:pPr>
              <w:pStyle w:val="Compact"/>
              <w:jc w:val="right"/>
            </w:pPr>
            <w:r>
              <w:rPr>
                <w:b/>
                <w:bCs/>
              </w:rPr>
              <w:t xml:space="preserve">$1.48</w:t>
            </w:r>
          </w:p>
        </w:tc>
      </w:tr>
      <w:tr>
        <w:tc>
          <w:tcPr/>
          <w:p>
            <w:pPr>
              <w:pStyle w:val="Compact"/>
            </w:pPr>
            <w:r>
              <w:t xml:space="preserve">2026 adjusted EPS guidance</w:t>
            </w:r>
          </w:p>
        </w:tc>
        <w:tc>
          <w:tcPr/>
          <w:p>
            <w:pPr>
              <w:pStyle w:val="Compact"/>
              <w:jc w:val="right"/>
            </w:pPr>
            <m:oMath>
              <m:r>
                <m:t>6.02</m:t>
              </m:r>
              <m:r>
                <m:rPr>
                  <m:sty m:val="p"/>
                </m:rPr>
                <m:t>–</m:t>
              </m:r>
            </m:oMath>
            <w:r>
              <w:rPr>
                <w:b/>
                <w:bCs/>
              </w:rPr>
              <w:t xml:space="preserve">6.12</w:t>
            </w:r>
          </w:p>
        </w:tc>
      </w:tr>
      <w:tr>
        <w:tc>
          <w:tcPr/>
          <w:p>
            <w:pPr>
              <w:pStyle w:val="Compact"/>
            </w:pPr>
            <w:r>
              <w:t xml:space="preserve">Long-term EPS and dividend growth target</w:t>
            </w:r>
          </w:p>
        </w:tc>
        <w:tc>
          <w:tcPr/>
          <w:p>
            <w:pPr>
              <w:pStyle w:val="Compact"/>
              <w:jc w:val="right"/>
            </w:pPr>
            <w:r>
              <w:rPr>
                <w:b/>
                <w:bCs/>
              </w:rPr>
              <w:t xml:space="preserve">7%–9%</w:t>
            </w:r>
          </w:p>
        </w:tc>
      </w:tr>
      <w:tr>
        <w:tc>
          <w:tcPr/>
          <w:p>
            <w:pPr>
              <w:pStyle w:val="Compact"/>
            </w:pPr>
            <w:r>
              <w:t xml:space="preserve">2026 capital-investment plan</w:t>
            </w:r>
          </w:p>
        </w:tc>
        <w:tc>
          <w:tcPr/>
          <w:p>
            <w:pPr>
              <w:pStyle w:val="Compact"/>
              <w:jc w:val="right"/>
            </w:pPr>
            <w:r>
              <w:t xml:space="preserve">Approximately</w:t>
            </w:r>
            <w:r>
              <w:t xml:space="preserve"> </w:t>
            </w:r>
            <w:r>
              <w:rPr>
                <w:b/>
                <w:bCs/>
              </w:rPr>
              <w:t xml:space="preserve">$3.7 billion</w:t>
            </w:r>
            <w:r>
              <w:t xml:space="preserve">, including acquisitions</w:t>
            </w:r>
          </w:p>
        </w:tc>
      </w:tr>
      <w:tr>
        <w:tc>
          <w:tcPr/>
          <w:p>
            <w:pPr>
              <w:pStyle w:val="Compact"/>
            </w:pPr>
            <w:r>
              <w:t xml:space="preserve">AWK closing price, July 28</w:t>
            </w:r>
          </w:p>
        </w:tc>
        <w:tc>
          <w:tcPr/>
          <w:p>
            <w:pPr>
              <w:pStyle w:val="Compact"/>
              <w:jc w:val="right"/>
            </w:pPr>
            <w:r>
              <w:rPr>
                <w:b/>
                <w:bCs/>
              </w:rPr>
              <w:t xml:space="preserve">$138.07</w:t>
            </w:r>
          </w:p>
        </w:tc>
      </w:tr>
      <w:tr>
        <w:tc>
          <w:tcPr/>
          <w:p>
            <w:pPr>
              <w:pStyle w:val="Compact"/>
            </w:pPr>
            <w:r>
              <w:t xml:space="preserve">Implied 2026 P/E at $6.09 consensus EPS</w:t>
            </w:r>
          </w:p>
        </w:tc>
        <w:tc>
          <w:tcPr/>
          <w:p>
            <w:pPr>
              <w:pStyle w:val="Compact"/>
              <w:jc w:val="right"/>
            </w:pPr>
            <w:r>
              <w:t xml:space="preserve">Approximately</w:t>
            </w:r>
            <w:r>
              <w:t xml:space="preserve"> </w:t>
            </w:r>
            <w:r>
              <w:rPr>
                <w:b/>
                <w:bCs/>
              </w:rPr>
              <w:t xml:space="preserve">22.7x</w:t>
            </w:r>
          </w:p>
        </w:tc>
      </w:tr>
      <w:tr>
        <w:tc>
          <w:tcPr/>
          <w:p>
            <w:pPr>
              <w:pStyle w:val="Compact"/>
            </w:pPr>
            <w:r>
              <w:t xml:space="preserve">Forward dividend yield</w:t>
            </w:r>
          </w:p>
        </w:tc>
        <w:tc>
          <w:tcPr/>
          <w:p>
            <w:pPr>
              <w:pStyle w:val="Compact"/>
              <w:jc w:val="right"/>
            </w:pPr>
            <w:r>
              <w:t xml:space="preserve">Approximately</w:t>
            </w:r>
            <w:r>
              <w:t xml:space="preserve"> </w:t>
            </w:r>
            <w:r>
              <w:rPr>
                <w:b/>
                <w:bCs/>
              </w:rPr>
              <w:t xml:space="preserve">2.6%</w:t>
            </w:r>
          </w:p>
        </w:tc>
      </w:tr>
    </w:tbl>
    <w:p>
      <w:pPr>
        <w:pStyle w:val="BodyText"/>
      </w:pPr>
      <w:r>
        <w:t xml:space="preserve">Published estimates are not perfectly aligned: Barchart shows a $1.59 Q2 EPS estimate based on three estimates, while other aggregators are closer to $1.58. The implied growth versus last year's $1.48 is roughly 7%–8%. (</w:t>
      </w:r>
      <w:hyperlink r:id="rId10">
        <w:r>
          <w:rPr>
            <w:rStyle w:val="Hyperlink"/>
          </w:rPr>
          <w:t xml:space="preserve">benzinga.com</w:t>
        </w:r>
      </w:hyperlink>
      <w:r>
        <w:t xml:space="preserve">)</w:t>
      </w:r>
    </w:p>
    <w:bookmarkEnd w:id="11"/>
    <w:bookmarkStart w:id="13" w:name="investment-view-going-into-the-report"/>
    <w:p>
      <w:pPr>
        <w:pStyle w:val="Heading2"/>
      </w:pPr>
      <w:r>
        <w:t xml:space="preserve">Investment view going into the report</w:t>
      </w:r>
    </w:p>
    <w:p>
      <w:pPr>
        <w:pStyle w:val="FirstParagraph"/>
      </w:pPr>
      <w:r>
        <w:t xml:space="preserve">This is less about whether AWK beats quarterly consensus by a few cents and more about whether management can</w:t>
      </w:r>
      <w:r>
        <w:t xml:space="preserve"> </w:t>
      </w:r>
      <w:r>
        <w:rPr>
          <w:b/>
          <w:bCs/>
        </w:rPr>
        <w:t xml:space="preserve">de-risk the second-half earnings ramp</w:t>
      </w:r>
      <w:r>
        <w:t xml:space="preserve">. First-quarter adjusted EPS was essentially flat at $1.01, and management explicitly said most of 2026's growth would arrive in the second half as major rate increases became effective.</w:t>
      </w:r>
    </w:p>
    <w:p>
      <w:pPr>
        <w:pStyle w:val="BodyText"/>
      </w:pPr>
      <w:r>
        <w:t xml:space="preserve">At the Q2 consensus of roughly</w:t>
      </w:r>
      <w:r>
        <w:t xml:space="preserve"> </w:t>
      </w:r>
      <m:oMath>
        <m:r>
          <m:t>1.59</m:t>
        </m:r>
        <m:r>
          <m:rPr>
            <m:sty m:val="p"/>
          </m:rPr>
          <m:t>,</m:t>
        </m:r>
        <m:r>
          <m:t>f</m:t>
        </m:r>
        <m:r>
          <m:t>i</m:t>
        </m:r>
        <m:r>
          <m:t>r</m:t>
        </m:r>
        <m:r>
          <m:t>s</m:t>
        </m:r>
        <m:r>
          <m:t>t</m:t>
        </m:r>
        <m:r>
          <m:rPr>
            <m:sty m:val="p"/>
          </m:rPr>
          <m:t>−</m:t>
        </m:r>
        <m:r>
          <m:t>h</m:t>
        </m:r>
        <m:r>
          <m:t>a</m:t>
        </m:r>
        <m:r>
          <m:t>l</m:t>
        </m:r>
        <m:r>
          <m:t>f</m:t>
        </m:r>
        <m:r>
          <m:t>a</m:t>
        </m:r>
        <m:r>
          <m:t>d</m:t>
        </m:r>
        <m:r>
          <m:t>j</m:t>
        </m:r>
        <m:r>
          <m:t>u</m:t>
        </m:r>
        <m:r>
          <m:t>s</m:t>
        </m:r>
        <m:r>
          <m:t>t</m:t>
        </m:r>
        <m:r>
          <m:t>e</m:t>
        </m:r>
        <m:r>
          <m:t>d</m:t>
        </m:r>
        <m:r>
          <m:t>E</m:t>
        </m:r>
        <m:r>
          <m:t>P</m:t>
        </m:r>
        <m:r>
          <m:t>S</m:t>
        </m:r>
        <m:r>
          <m:t>w</m:t>
        </m:r>
        <m:r>
          <m:t>o</m:t>
        </m:r>
        <m:r>
          <m:t>u</m:t>
        </m:r>
        <m:r>
          <m:t>l</m:t>
        </m:r>
        <m:r>
          <m:t>d</m:t>
        </m:r>
        <m:r>
          <m:t>b</m:t>
        </m:r>
        <m:r>
          <m:t>e</m:t>
        </m:r>
        <m:r>
          <m:t>a</m:t>
        </m:r>
        <m:r>
          <m:t>b</m:t>
        </m:r>
        <m:r>
          <m:t>o</m:t>
        </m:r>
        <m:r>
          <m:t>u</m:t>
        </m:r>
        <m:r>
          <m:t>t</m:t>
        </m:r>
        <m:r>
          <m:rPr>
            <m:sty m:val="p"/>
          </m:rPr>
          <m:t>*</m:t>
        </m:r>
        <m:r>
          <m:rPr>
            <m:sty m:val="p"/>
          </m:rPr>
          <m:t>*</m:t>
        </m:r>
      </m:oMath>
      <w:r>
        <w:t xml:space="preserve">2.60**. AWK would then need</w:t>
      </w:r>
      <w:r>
        <w:t xml:space="preserve"> </w:t>
      </w:r>
      <m:oMath>
        <m:r>
          <m:t>3.42</m:t>
        </m:r>
        <m:r>
          <m:rPr>
            <m:sty m:val="p"/>
          </m:rPr>
          <m:t>–</m:t>
        </m:r>
      </m:oMath>
      <w:r>
        <w:rPr>
          <w:b/>
          <w:bCs/>
        </w:rPr>
        <w:t xml:space="preserve">3.52</w:t>
      </w:r>
      <w:r>
        <w:t xml:space="preserve"> </w:t>
      </w:r>
      <w:r>
        <w:t xml:space="preserve">across Q3 and Q4 to achieve its full-year range. That is achievable, but it places considerable weight on regulatory execution, cost control and the timing of new rates in Pennsylvania and New Jersey. Management previously characterized Q1 results as on track and affirmed the</w:t>
      </w:r>
      <w:r>
        <w:t xml:space="preserve"> </w:t>
      </w:r>
      <m:oMath>
        <m:r>
          <m:t>6.02</m:t>
        </m:r>
        <m:r>
          <m:rPr>
            <m:sty m:val="p"/>
          </m:rPr>
          <m:t>–</m:t>
        </m:r>
      </m:oMath>
      <w:r>
        <w:t xml:space="preserve">6.12 outlook. (</w:t>
      </w:r>
      <w:hyperlink r:id="rId12">
        <w:r>
          <w:rPr>
            <w:rStyle w:val="Hyperlink"/>
          </w:rPr>
          <w:t xml:space="preserve">ir.amwater.com</w:t>
        </w:r>
      </w:hyperlink>
      <w:r>
        <w:t xml:space="preserve">)</w:t>
      </w:r>
    </w:p>
    <w:p>
      <w:pPr>
        <w:pStyle w:val="BodyText"/>
      </w:pPr>
      <w:r>
        <w:t xml:space="preserve">The stock also enters the report at roughly</w:t>
      </w:r>
      <w:r>
        <w:t xml:space="preserve"> </w:t>
      </w:r>
      <w:r>
        <w:rPr>
          <w:b/>
          <w:bCs/>
        </w:rPr>
        <w:t xml:space="preserve">22.7 times 2026 consensus earnings</w:t>
      </w:r>
      <w:r>
        <w:t xml:space="preserve">, after gaining about 6% year to date through July 28. That valuation leaves room for steady regulated growth, but it raises the standard for reassurance on guidance, financing and the Essential Utilities merger.</w:t>
      </w:r>
    </w:p>
    <w:p>
      <w:r>
        <w:pict>
          <v:rect style="width:0;height:1.5pt" o:hralign="center" o:hrstd="t" o:hr="t"/>
        </w:pict>
      </w:r>
    </w:p>
    <w:bookmarkEnd w:id="13"/>
    <w:bookmarkStart w:id="17" w:name="the-most-important-issue-pennsylvania"/>
    <w:p>
      <w:pPr>
        <w:pStyle w:val="Heading2"/>
      </w:pPr>
      <w:r>
        <w:t xml:space="preserve">The most important issue: Pennsylvania</w:t>
      </w:r>
    </w:p>
    <w:p>
      <w:pPr>
        <w:pStyle w:val="FirstParagraph"/>
      </w:pPr>
      <w:r>
        <w:t xml:space="preserve">Pennsylvania is AWK's largest jurisdiction, representing approximately 23% of its regulated customer base in the company's June presentation. It was also expected to be one of the principal drivers of stronger second-half results. (</w:t>
      </w:r>
      <w:hyperlink r:id="rId14">
        <w:r>
          <w:rPr>
            <w:rStyle w:val="Hyperlink"/>
          </w:rPr>
          <w:t xml:space="preserve">s26.q4cdn.com</w:t>
        </w:r>
      </w:hyperlink>
      <w:r>
        <w:t xml:space="preserve">)</w:t>
      </w:r>
    </w:p>
    <w:p>
      <w:pPr>
        <w:pStyle w:val="BodyText"/>
      </w:pPr>
      <w:r>
        <w:t xml:space="preserve">On July 16, the Pennsylvania Public Utility Commission authorized approximately</w:t>
      </w:r>
      <w:r>
        <w:t xml:space="preserve"> </w:t>
      </w:r>
      <m:oMath>
        <m:r>
          <m:t>74.9</m:t>
        </m:r>
        <m:r>
          <m:t>m</m:t>
        </m:r>
        <m:r>
          <m:t>i</m:t>
        </m:r>
        <m:r>
          <m:t>l</m:t>
        </m:r>
        <m:r>
          <m:t>l</m:t>
        </m:r>
        <m:r>
          <m:t>i</m:t>
        </m:r>
        <m:r>
          <m:t>o</m:t>
        </m:r>
        <m:r>
          <m:t>n</m:t>
        </m:r>
        <m:r>
          <m:t>o</m:t>
        </m:r>
        <m:r>
          <m:t>f</m:t>
        </m:r>
        <m:r>
          <m:t>a</m:t>
        </m:r>
        <m:r>
          <m:t>d</m:t>
        </m:r>
        <m:r>
          <m:t>d</m:t>
        </m:r>
        <m:r>
          <m:t>i</m:t>
        </m:r>
        <m:r>
          <m:t>t</m:t>
        </m:r>
        <m:r>
          <m:t>i</m:t>
        </m:r>
        <m:r>
          <m:t>o</m:t>
        </m:r>
        <m:r>
          <m:t>n</m:t>
        </m:r>
        <m:r>
          <m:t>a</m:t>
        </m:r>
        <m:r>
          <m:t>l</m:t>
        </m:r>
        <m:r>
          <m:t>a</m:t>
        </m:r>
        <m:r>
          <m:t>n</m:t>
        </m:r>
        <m:r>
          <m:t>n</m:t>
        </m:r>
        <m:r>
          <m:t>u</m:t>
        </m:r>
        <m:r>
          <m:t>a</m:t>
        </m:r>
        <m:r>
          <m:t>l</m:t>
        </m:r>
        <m:r>
          <m:t>r</m:t>
        </m:r>
        <m:r>
          <m:t>e</m:t>
        </m:r>
        <m:r>
          <m:t>v</m:t>
        </m:r>
        <m:r>
          <m:t>e</m:t>
        </m:r>
        <m:r>
          <m:t>n</m:t>
        </m:r>
        <m:r>
          <m:t>u</m:t>
        </m:r>
        <m:r>
          <m:t>e</m:t>
        </m:r>
        <m:r>
          <m:rPr>
            <m:sty m:val="p"/>
          </m:rPr>
          <m:t>*</m:t>
        </m:r>
        <m:r>
          <m:rPr>
            <m:sty m:val="p"/>
          </m:rPr>
          <m:t>*</m:t>
        </m:r>
        <m:r>
          <m:rPr>
            <m:sty m:val="p"/>
          </m:rPr>
          <m:t>.</m:t>
        </m:r>
        <m:r>
          <m:t>T</m:t>
        </m:r>
        <m:r>
          <m:t>h</m:t>
        </m:r>
        <m:r>
          <m:t>a</m:t>
        </m:r>
        <m:r>
          <m:t>t</m:t>
        </m:r>
        <m:r>
          <m:t>i</m:t>
        </m:r>
        <m:r>
          <m:t>s</m:t>
        </m:r>
        <m:r>
          <m:t>a</m:t>
        </m:r>
        <m:r>
          <m:t>c</m:t>
        </m:r>
        <m:r>
          <m:t>o</m:t>
        </m:r>
        <m:r>
          <m:t>n</m:t>
        </m:r>
        <m:r>
          <m:t>s</m:t>
        </m:r>
        <m:r>
          <m:t>t</m:t>
        </m:r>
        <m:r>
          <m:t>r</m:t>
        </m:r>
        <m:r>
          <m:t>u</m:t>
        </m:r>
        <m:r>
          <m:t>c</m:t>
        </m:r>
        <m:r>
          <m:t>t</m:t>
        </m:r>
        <m:r>
          <m:t>i</m:t>
        </m:r>
        <m:r>
          <m:t>v</m:t>
        </m:r>
        <m:r>
          <m:t>e</m:t>
        </m:r>
        <m:r>
          <m:t>o</m:t>
        </m:r>
        <m:r>
          <m:t>u</m:t>
        </m:r>
        <m:r>
          <m:t>t</m:t>
        </m:r>
        <m:r>
          <m:t>c</m:t>
        </m:r>
        <m:r>
          <m:t>o</m:t>
        </m:r>
        <m:r>
          <m:t>m</m:t>
        </m:r>
        <m:r>
          <m:t>e</m:t>
        </m:r>
        <m:r>
          <m:t>i</m:t>
        </m:r>
        <m:r>
          <m:t>n</m:t>
        </m:r>
        <m:r>
          <m:t>a</m:t>
        </m:r>
        <m:r>
          <m:t>b</m:t>
        </m:r>
        <m:r>
          <m:t>s</m:t>
        </m:r>
        <m:r>
          <m:t>o</m:t>
        </m:r>
        <m:r>
          <m:t>l</m:t>
        </m:r>
        <m:r>
          <m:t>u</m:t>
        </m:r>
        <m:r>
          <m:t>t</m:t>
        </m:r>
        <m:r>
          <m:t>e</m:t>
        </m:r>
        <m:r>
          <m:t>t</m:t>
        </m:r>
        <m:r>
          <m:t>e</m:t>
        </m:r>
        <m:r>
          <m:t>r</m:t>
        </m:r>
        <m:r>
          <m:t>m</m:t>
        </m:r>
        <m:r>
          <m:t>s</m:t>
        </m:r>
        <m:r>
          <m:rPr>
            <m:sty m:val="p"/>
          </m:rPr>
          <m:t>,</m:t>
        </m:r>
        <m:r>
          <m:t>b</m:t>
        </m:r>
        <m:r>
          <m:t>u</m:t>
        </m:r>
        <m:r>
          <m:t>t</m:t>
        </m:r>
        <m:r>
          <m:t>i</m:t>
        </m:r>
        <m:r>
          <m:t>t</m:t>
        </m:r>
        <m:r>
          <m:t>i</m:t>
        </m:r>
        <m:r>
          <m:t>s</m:t>
        </m:r>
        <m:r>
          <m:t>w</m:t>
        </m:r>
        <m:r>
          <m:t>e</m:t>
        </m:r>
        <m:r>
          <m:t>l</m:t>
        </m:r>
        <m:r>
          <m:t>l</m:t>
        </m:r>
        <m:r>
          <m:t>b</m:t>
        </m:r>
        <m:r>
          <m:t>e</m:t>
        </m:r>
        <m:r>
          <m:t>l</m:t>
        </m:r>
        <m:r>
          <m:t>o</m:t>
        </m:r>
        <m:r>
          <m:t>w</m:t>
        </m:r>
        <m:r>
          <m:t>P</m:t>
        </m:r>
        <m:r>
          <m:t>e</m:t>
        </m:r>
        <m:r>
          <m:t>n</m:t>
        </m:r>
        <m:r>
          <m:t>n</m:t>
        </m:r>
        <m:r>
          <m:t>s</m:t>
        </m:r>
        <m:r>
          <m:t>y</m:t>
        </m:r>
        <m:r>
          <m:t>l</m:t>
        </m:r>
        <m:r>
          <m:t>v</m:t>
        </m:r>
        <m:r>
          <m:t>a</m:t>
        </m:r>
        <m:r>
          <m:t>n</m:t>
        </m:r>
        <m:r>
          <m:t>i</m:t>
        </m:r>
        <m:r>
          <m:t>a</m:t>
        </m:r>
        <m:r>
          <m:t>A</m:t>
        </m:r>
        <m:r>
          <m:t>m</m:t>
        </m:r>
        <m:r>
          <m:t>e</m:t>
        </m:r>
        <m:r>
          <m:t>r</m:t>
        </m:r>
        <m:r>
          <m:t>i</m:t>
        </m:r>
        <m:r>
          <m:t>c</m:t>
        </m:r>
        <m:r>
          <m:t>a</m:t>
        </m:r>
        <m:r>
          <m:t>n</m:t>
        </m:r>
        <m:r>
          <m:t>W</m:t>
        </m:r>
        <m:r>
          <m:t>a</m:t>
        </m:r>
        <m:r>
          <m:t>t</m:t>
        </m:r>
        <m:r>
          <m:t>e</m:t>
        </m:r>
        <m:sSup>
          <m:e>
            <m:r>
              <m:t>r</m:t>
            </m:r>
          </m:e>
          <m:sup>
            <m:r>
              <m:rPr>
                <m:sty m:val="p"/>
              </m:rPr>
              <m:t>′</m:t>
            </m:r>
          </m:sup>
        </m:sSup>
        <m:r>
          <m:t>s</m:t>
        </m:r>
        <m:r>
          <m:t>u</m:t>
        </m:r>
        <m:r>
          <m:t>p</m:t>
        </m:r>
        <m:r>
          <m:t>d</m:t>
        </m:r>
        <m:r>
          <m:t>a</m:t>
        </m:r>
        <m:r>
          <m:t>t</m:t>
        </m:r>
        <m:r>
          <m:t>e</m:t>
        </m:r>
        <m:r>
          <m:t>d</m:t>
        </m:r>
        <m:r>
          <m:t>r</m:t>
        </m:r>
        <m:r>
          <m:t>e</m:t>
        </m:r>
        <m:r>
          <m:t>q</m:t>
        </m:r>
        <m:r>
          <m:t>u</m:t>
        </m:r>
        <m:r>
          <m:t>e</m:t>
        </m:r>
        <m:r>
          <m:t>s</m:t>
        </m:r>
        <m:r>
          <m:t>t</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159.6 million</w:t>
      </w:r>
      <w:r>
        <w:t xml:space="preserve">—about 47% of the updated ask. The company had originally requested $168.7 million before revising the figure. (</w:t>
      </w:r>
      <w:hyperlink r:id="rId15">
        <w:r>
          <w:rPr>
            <w:rStyle w:val="Hyperlink"/>
          </w:rPr>
          <w:t xml:space="preserve">ir.amwater.com</w:t>
        </w:r>
      </w:hyperlink>
      <w:r>
        <w:t xml:space="preserve">)</w:t>
      </w:r>
    </w:p>
    <w:bookmarkStart w:id="16" w:name="what-investors-need-to-hear"/>
    <w:p>
      <w:pPr>
        <w:pStyle w:val="Heading3"/>
      </w:pPr>
      <w:r>
        <w:t xml:space="preserve">What investors need to hear</w:t>
      </w:r>
    </w:p>
    <w:p>
      <w:pPr>
        <w:numPr>
          <w:ilvl w:val="0"/>
          <w:numId w:val="1001"/>
        </w:numPr>
      </w:pPr>
      <w:r>
        <w:rPr>
          <w:b/>
          <w:bCs/>
        </w:rPr>
        <w:t xml:space="preserve">What Pennsylvania outcome was embedded in guidance?</w:t>
      </w:r>
      <w:r>
        <w:br/>
      </w:r>
      <w:r>
        <w:t xml:space="preserve">The full filed amount was almost certainly not assumed, but the difference between the authorized amount and AWK's internal planning assumption will determine whether the upper half of guidance remains realistic.</w:t>
      </w:r>
    </w:p>
    <w:p>
      <w:pPr>
        <w:numPr>
          <w:ilvl w:val="0"/>
          <w:numId w:val="1001"/>
        </w:numPr>
      </w:pPr>
      <w:r>
        <w:rPr>
          <w:b/>
          <w:bCs/>
        </w:rPr>
        <w:t xml:space="preserve">When do the new rates become effective?</w:t>
      </w:r>
      <w:r>
        <w:br/>
      </w:r>
      <w:r>
        <w:t xml:space="preserve">Management had been targeting an August implementation. Investors need confirmation of the effective date and the Q3/Q4 revenue contribution.</w:t>
      </w:r>
    </w:p>
    <w:p>
      <w:pPr>
        <w:numPr>
          <w:ilvl w:val="0"/>
          <w:numId w:val="1001"/>
        </w:numPr>
      </w:pPr>
      <w:r>
        <w:rPr>
          <w:b/>
          <w:bCs/>
        </w:rPr>
        <w:t xml:space="preserve">What ROE, capital structure and rate base were authorized?</w:t>
      </w:r>
      <w:r>
        <w:br/>
      </w:r>
      <w:r>
        <w:t xml:space="preserve">The headline revenue number alone does not reveal the long-term quality of the order.</w:t>
      </w:r>
    </w:p>
    <w:p>
      <w:pPr>
        <w:numPr>
          <w:ilvl w:val="0"/>
          <w:numId w:val="1001"/>
        </w:numPr>
      </w:pPr>
      <w:r>
        <w:rPr>
          <w:b/>
          <w:bCs/>
        </w:rPr>
        <w:t xml:space="preserve">Does the order alter the capital plan?</w:t>
      </w:r>
      <w:r>
        <w:br/>
      </w:r>
      <w:r>
        <w:t xml:space="preserve">AWK intends to invest heavily in Pennsylvania for pipe replacement, PFAS treatment and lead-service-line removal. Any increase in regulatory lag would weaken the conversion of capital spending into earnings.</w:t>
      </w:r>
    </w:p>
    <w:p>
      <w:pPr>
        <w:numPr>
          <w:ilvl w:val="0"/>
          <w:numId w:val="1001"/>
        </w:numPr>
      </w:pPr>
      <w:r>
        <w:rPr>
          <w:b/>
          <w:bCs/>
        </w:rPr>
        <w:t xml:space="preserve">Does the rate decision signal anything about the Essential merger review?</w:t>
      </w:r>
      <w:r>
        <w:br/>
      </w:r>
      <w:r>
        <w:t xml:space="preserve">The rate case and merger are separate proceedings, but affordability and customer protections are central to both.</w:t>
      </w:r>
    </w:p>
    <w:p>
      <w:pPr>
        <w:pStyle w:val="FirstParagraph"/>
      </w:pPr>
      <w:r>
        <w:t xml:space="preserve">A clean affirmation of guidance accompanied by a credible explanation of the Pennsylvania assumptions would be more important than a modest Q2 EPS beat.</w:t>
      </w:r>
    </w:p>
    <w:p>
      <w:r>
        <w:pict>
          <v:rect style="width:0;height:1.5pt" o:hralign="center" o:hrstd="t" o:hr="t"/>
        </w:pict>
      </w:r>
    </w:p>
    <w:bookmarkEnd w:id="16"/>
    <w:bookmarkEnd w:id="17"/>
    <w:bookmarkStart w:id="18" w:name="X79e157335ba8e3b96ef17958443c87cfd4c5a80"/>
    <w:p>
      <w:pPr>
        <w:pStyle w:val="Heading2"/>
      </w:pPr>
      <w:r>
        <w:t xml:space="preserve">New Jersey is now the pivotal second-half swing factor</w:t>
      </w:r>
    </w:p>
    <w:p>
      <w:pPr>
        <w:pStyle w:val="FirstParagraph"/>
      </w:pPr>
      <w:r>
        <w:t xml:space="preserve">New Jersey is AWK's second-largest jurisdiction and accounts for about 21% of regulated customers. The subsidiary filed for approximately</w:t>
      </w:r>
      <w:r>
        <w:t xml:space="preserve"> </w:t>
      </w:r>
      <m:oMath>
        <m:r>
          <m:t>146.4</m:t>
        </m:r>
        <m:r>
          <m:t>m</m:t>
        </m:r>
        <m:r>
          <m:t>i</m:t>
        </m:r>
        <m:r>
          <m:t>l</m:t>
        </m:r>
        <m:r>
          <m:t>l</m:t>
        </m:r>
        <m:r>
          <m:t>i</m:t>
        </m:r>
        <m:r>
          <m:t>o</m:t>
        </m:r>
        <m:r>
          <m:t>n</m:t>
        </m:r>
        <m:r>
          <m:rPr>
            <m:sty m:val="p"/>
          </m:rPr>
          <m:t>*</m:t>
        </m:r>
        <m:r>
          <m:rPr>
            <m:sty m:val="p"/>
          </m:rPr>
          <m:t>*</m:t>
        </m:r>
        <m:r>
          <m:t>o</m:t>
        </m:r>
        <m:r>
          <m:t>f</m:t>
        </m:r>
        <m:r>
          <m:t>a</m:t>
        </m:r>
        <m:r>
          <m:t>d</m:t>
        </m:r>
        <m:r>
          <m:t>d</m:t>
        </m:r>
        <m:r>
          <m:t>i</m:t>
        </m:r>
        <m:r>
          <m:t>t</m:t>
        </m:r>
        <m:r>
          <m:t>i</m:t>
        </m:r>
        <m:r>
          <m:t>o</m:t>
        </m:r>
        <m:r>
          <m:t>n</m:t>
        </m:r>
        <m:r>
          <m:t>a</m:t>
        </m:r>
        <m:r>
          <m:t>l</m:t>
        </m:r>
        <m:r>
          <m:t>a</m:t>
        </m:r>
        <m:r>
          <m:t>n</m:t>
        </m:r>
        <m:r>
          <m:t>n</m:t>
        </m:r>
        <m:r>
          <m:t>u</m:t>
        </m:r>
        <m:r>
          <m:t>a</m:t>
        </m:r>
        <m:r>
          <m:t>l</m:t>
        </m:r>
        <m:r>
          <m:t>r</m:t>
        </m:r>
        <m:r>
          <m:t>e</m:t>
        </m:r>
        <m:r>
          <m:t>v</m:t>
        </m:r>
        <m:r>
          <m:t>e</m:t>
        </m:r>
        <m:r>
          <m:t>n</m:t>
        </m:r>
        <m:r>
          <m:t>u</m:t>
        </m:r>
        <m:r>
          <m:t>e</m:t>
        </m:r>
        <m:r>
          <m:rPr>
            <m:sty m:val="p"/>
          </m:rPr>
          <m:t>,</m:t>
        </m:r>
        <m:r>
          <m:t>s</m:t>
        </m:r>
        <m:r>
          <m:t>u</m:t>
        </m:r>
        <m:r>
          <m:t>b</m:t>
        </m:r>
        <m:r>
          <m:t>s</m:t>
        </m:r>
        <m:r>
          <m:t>e</m:t>
        </m:r>
        <m:r>
          <m:t>q</m:t>
        </m:r>
        <m:r>
          <m:t>u</m:t>
        </m:r>
        <m:r>
          <m:t>e</m:t>
        </m:r>
        <m:r>
          <m:t>n</m:t>
        </m:r>
        <m:r>
          <m:t>t</m:t>
        </m:r>
        <m:r>
          <m:t>l</m:t>
        </m:r>
        <m:r>
          <m:t>y</m:t>
        </m:r>
        <m:r>
          <m:t>r</m:t>
        </m:r>
        <m:r>
          <m:t>e</m:t>
        </m:r>
        <m:r>
          <m:t>d</m:t>
        </m:r>
        <m:r>
          <m:t>u</m:t>
        </m:r>
        <m:r>
          <m:t>c</m:t>
        </m:r>
        <m:r>
          <m:t>i</m:t>
        </m:r>
        <m:r>
          <m:t>n</m:t>
        </m:r>
        <m:r>
          <m:t>g</m:t>
        </m:r>
        <m:r>
          <m:t>i</m:t>
        </m:r>
        <m:r>
          <m:t>t</m:t>
        </m:r>
        <m:r>
          <m:t>s</m:t>
        </m:r>
        <m:r>
          <m:t>u</m:t>
        </m:r>
        <m:r>
          <m:t>p</m:t>
        </m:r>
        <m:r>
          <m:t>d</m:t>
        </m:r>
        <m:r>
          <m:t>a</m:t>
        </m:r>
        <m:r>
          <m:t>t</m:t>
        </m:r>
        <m:r>
          <m:t>e</m:t>
        </m:r>
        <m:r>
          <m:t>d</m:t>
        </m:r>
        <m:r>
          <m:t>r</m:t>
        </m:r>
        <m:r>
          <m:t>e</m:t>
        </m:r>
        <m:r>
          <m:t>q</m:t>
        </m:r>
        <m:r>
          <m:t>u</m:t>
        </m:r>
        <m:r>
          <m:t>e</m:t>
        </m:r>
        <m:r>
          <m:t>s</m:t>
        </m:r>
        <m:r>
          <m:t>t</m:t>
        </m:r>
        <m:r>
          <m:t>t</m:t>
        </m:r>
        <m:r>
          <m:t>o</m:t>
        </m:r>
        <m:r>
          <m:t>r</m:t>
        </m:r>
        <m:r>
          <m:t>o</m:t>
        </m:r>
        <m:r>
          <m:t>u</m:t>
        </m:r>
        <m:r>
          <m:t>g</m:t>
        </m:r>
        <m:r>
          <m:t>h</m:t>
        </m:r>
        <m:r>
          <m:t>l</m:t>
        </m:r>
        <m:r>
          <m:t>y</m:t>
        </m:r>
        <m:r>
          <m:rPr>
            <m:sty m:val="p"/>
          </m:rPr>
          <m:t>*</m:t>
        </m:r>
        <m:r>
          <m:rPr>
            <m:sty m:val="p"/>
          </m:rPr>
          <m:t>*</m:t>
        </m:r>
      </m:oMath>
      <w:r>
        <w:rPr>
          <w:b/>
          <w:bCs/>
        </w:rPr>
        <w:t xml:space="preserve">139.2 million</w:t>
      </w:r>
      <w:r>
        <w:t xml:space="preserve">, excluding infrastructure-surcharge revenue. Rates had been expected to take effect in the fall. (</w:t>
      </w:r>
      <w:hyperlink r:id="rId14">
        <w:r>
          <w:rPr>
            <w:rStyle w:val="Hyperlink"/>
          </w:rPr>
          <w:t xml:space="preserve">s26.q4cdn.com</w:t>
        </w:r>
      </w:hyperlink>
      <w:r>
        <w:t xml:space="preserve">)</w:t>
      </w:r>
    </w:p>
    <w:p>
      <w:pPr>
        <w:pStyle w:val="BodyText"/>
      </w:pPr>
      <w:r>
        <w:t xml:space="preserve">The call should clarify:</w:t>
      </w:r>
    </w:p>
    <w:p>
      <w:pPr>
        <w:pStyle w:val="Compact"/>
        <w:numPr>
          <w:ilvl w:val="0"/>
          <w:numId w:val="1002"/>
        </w:numPr>
      </w:pPr>
      <w:r>
        <w:t xml:space="preserve">Whether settlement discussions are progressing.</w:t>
      </w:r>
    </w:p>
    <w:p>
      <w:pPr>
        <w:pStyle w:val="Compact"/>
        <w:numPr>
          <w:ilvl w:val="0"/>
          <w:numId w:val="1002"/>
        </w:numPr>
      </w:pPr>
      <w:r>
        <w:t xml:space="preserve">Whether management still expects new rates in the fall.</w:t>
      </w:r>
    </w:p>
    <w:p>
      <w:pPr>
        <w:pStyle w:val="Compact"/>
        <w:numPr>
          <w:ilvl w:val="0"/>
          <w:numId w:val="1002"/>
        </w:numPr>
      </w:pPr>
      <w:r>
        <w:t xml:space="preserve">How much New Jersey revenue is assumed in 2026 guidance.</w:t>
      </w:r>
    </w:p>
    <w:p>
      <w:pPr>
        <w:pStyle w:val="Compact"/>
        <w:numPr>
          <w:ilvl w:val="0"/>
          <w:numId w:val="1002"/>
        </w:numPr>
      </w:pPr>
      <w:r>
        <w:t xml:space="preserve">Whether the Pennsylvania outcome has changed AWK's negotiating posture.</w:t>
      </w:r>
    </w:p>
    <w:p>
      <w:pPr>
        <w:pStyle w:val="Compact"/>
        <w:numPr>
          <w:ilvl w:val="0"/>
          <w:numId w:val="1002"/>
        </w:numPr>
      </w:pPr>
      <w:r>
        <w:t xml:space="preserve">Whether PFAS-related investments are receiving favorable regulatory treatment.</w:t>
      </w:r>
    </w:p>
    <w:p>
      <w:pPr>
        <w:pStyle w:val="FirstParagraph"/>
      </w:pPr>
      <w:r>
        <w:t xml:space="preserve">A delay into late Q4—or a materially weaker-than-assumed outcome—would make the full-year earnings bridge more difficult.</w:t>
      </w:r>
    </w:p>
    <w:p>
      <w:r>
        <w:pict>
          <v:rect style="width:0;height:1.5pt" o:hralign="center" o:hrstd="t" o:hr="t"/>
        </w:pict>
      </w:r>
    </w:p>
    <w:bookmarkEnd w:id="18"/>
    <w:bookmarkStart w:id="19" w:name="X7062d4eb34111d58c49ce917bc8bd7e11fbda0e"/>
    <w:p>
      <w:pPr>
        <w:pStyle w:val="Heading2"/>
      </w:pPr>
      <w:r>
        <w:t xml:space="preserve">The quarter's operating test: revenue growth versus cost pressure</w:t>
      </w:r>
    </w:p>
    <w:p>
      <w:pPr>
        <w:pStyle w:val="FirstParagraph"/>
      </w:pPr>
      <w:r>
        <w:t xml:space="preserve">Q1 illustrated the core earnings tension. Regulated-business revenue increased by</w:t>
      </w:r>
      <w:r>
        <w:t xml:space="preserve"> </w:t>
      </w:r>
      <m:oMath>
        <m:r>
          <m:t>62</m:t>
        </m:r>
        <m:r>
          <m:t>m</m:t>
        </m:r>
        <m:r>
          <m:t>i</m:t>
        </m:r>
        <m:r>
          <m:t>l</m:t>
        </m:r>
        <m:r>
          <m:t>l</m:t>
        </m:r>
        <m:r>
          <m:t>i</m:t>
        </m:r>
        <m:r>
          <m:t>o</m:t>
        </m:r>
        <m:r>
          <m:t>n</m:t>
        </m:r>
        <m:r>
          <m:rPr>
            <m:sty m:val="p"/>
          </m:rPr>
          <m:t>*</m:t>
        </m:r>
        <m:r>
          <m:rPr>
            <m:sty m:val="p"/>
          </m:rPr>
          <m:t>*</m:t>
        </m:r>
        <m:r>
          <m:rPr>
            <m:sty m:val="p"/>
          </m:rPr>
          <m:t>,</m:t>
        </m:r>
        <m:r>
          <m:t>b</m:t>
        </m:r>
        <m:r>
          <m:t>u</m:t>
        </m:r>
        <m:r>
          <m:t>t</m:t>
        </m:r>
        <m:r>
          <m:t>o</m:t>
        </m:r>
        <m:r>
          <m:t>p</m:t>
        </m:r>
        <m:r>
          <m:t>e</m:t>
        </m:r>
        <m:r>
          <m:t>r</m:t>
        </m:r>
        <m:r>
          <m:t>a</m:t>
        </m:r>
        <m:r>
          <m:t>t</m:t>
        </m:r>
        <m:r>
          <m:t>i</m:t>
        </m:r>
        <m:r>
          <m:t>n</m:t>
        </m:r>
        <m:r>
          <m:t>g</m:t>
        </m:r>
        <m:r>
          <m:t>e</m:t>
        </m:r>
        <m:r>
          <m:t>x</m:t>
        </m:r>
        <m:r>
          <m:t>p</m:t>
        </m:r>
        <m:r>
          <m:t>e</m:t>
        </m:r>
        <m:r>
          <m:t>n</m:t>
        </m:r>
        <m:r>
          <m:t>s</m:t>
        </m:r>
        <m:r>
          <m:t>e</m:t>
        </m:r>
        <m:r>
          <m:t>s</m:t>
        </m:r>
        <m:r>
          <m:t>r</m:t>
        </m:r>
        <m:r>
          <m:t>o</m:t>
        </m:r>
        <m:r>
          <m:t>s</m:t>
        </m:r>
        <m:r>
          <m:t>e</m:t>
        </m:r>
        <m:r>
          <m:t>b</m:t>
        </m:r>
        <m:r>
          <m:t>y</m:t>
        </m:r>
        <m:r>
          <m:rPr>
            <m:sty m:val="p"/>
          </m:rPr>
          <m:t>*</m:t>
        </m:r>
        <m:r>
          <m:rPr>
            <m:sty m:val="p"/>
          </m:rPr>
          <m:t>*</m:t>
        </m:r>
      </m:oMath>
      <w:r>
        <w:rPr>
          <w:b/>
          <w:bCs/>
        </w:rPr>
        <w:t xml:space="preserve">44 million</w:t>
      </w:r>
      <w:r>
        <w:t xml:space="preserve">, including a $21 million increase in depreciation. Interest expense was also $12 million higher as AWK funded its capital program. Q1 adjusted EPS consequently slipped to $1.01 from $1.02 despite healthy revenue growth. (</w:t>
      </w:r>
      <w:hyperlink r:id="rId12">
        <w:r>
          <w:rPr>
            <w:rStyle w:val="Hyperlink"/>
          </w:rPr>
          <w:t xml:space="preserve">ir.amwater.com</w:t>
        </w:r>
      </w:hyperlink>
      <w:r>
        <w:t xml:space="preserve">)</w:t>
      </w:r>
    </w:p>
    <w:p>
      <w:pPr>
        <w:pStyle w:val="BodyText"/>
      </w:pPr>
      <w:r>
        <w:t xml:space="preserve">For Q2, investors should focus on:</w:t>
      </w:r>
    </w:p>
    <w:p>
      <w:pPr>
        <w:pStyle w:val="Compact"/>
        <w:numPr>
          <w:ilvl w:val="0"/>
          <w:numId w:val="1003"/>
        </w:numPr>
      </w:pPr>
      <w:r>
        <w:rPr>
          <w:b/>
          <w:bCs/>
        </w:rPr>
        <w:t xml:space="preserve">Authorized-rate revenue:</w:t>
      </w:r>
      <w:r>
        <w:t xml:space="preserve"> </w:t>
      </w:r>
      <w:r>
        <w:t xml:space="preserve">Whether recent rate increases and infrastructure surcharges are accelerating revenue growth.</w:t>
      </w:r>
    </w:p>
    <w:p>
      <w:pPr>
        <w:pStyle w:val="Compact"/>
        <w:numPr>
          <w:ilvl w:val="0"/>
          <w:numId w:val="1003"/>
        </w:numPr>
      </w:pPr>
      <w:r>
        <w:rPr>
          <w:b/>
          <w:bCs/>
        </w:rPr>
        <w:t xml:space="preserve">O&amp;M discipline:</w:t>
      </w:r>
      <w:r>
        <w:t xml:space="preserve"> </w:t>
      </w:r>
      <w:r>
        <w:t xml:space="preserve">Purchased water, power, chemicals and employee costs were notable Q1 pressures.</w:t>
      </w:r>
    </w:p>
    <w:p>
      <w:pPr>
        <w:pStyle w:val="Compact"/>
        <w:numPr>
          <w:ilvl w:val="0"/>
          <w:numId w:val="1003"/>
        </w:numPr>
      </w:pPr>
      <w:r>
        <w:rPr>
          <w:b/>
          <w:bCs/>
        </w:rPr>
        <w:t xml:space="preserve">Depreciation:</w:t>
      </w:r>
      <w:r>
        <w:t xml:space="preserve"> </w:t>
      </w:r>
      <w:r>
        <w:t xml:space="preserve">It will continue rising with plant additions and acquisitions.</w:t>
      </w:r>
    </w:p>
    <w:p>
      <w:pPr>
        <w:pStyle w:val="Compact"/>
        <w:numPr>
          <w:ilvl w:val="0"/>
          <w:numId w:val="1003"/>
        </w:numPr>
      </w:pPr>
      <w:r>
        <w:rPr>
          <w:b/>
          <w:bCs/>
        </w:rPr>
        <w:t xml:space="preserve">Interest expense:</w:t>
      </w:r>
      <w:r>
        <w:t xml:space="preserve"> </w:t>
      </w:r>
      <w:r>
        <w:t xml:space="preserve">AWK issued $700 million of 5.20% notes in April and another $500 million of 4.625% notes in May.</w:t>
      </w:r>
    </w:p>
    <w:p>
      <w:pPr>
        <w:pStyle w:val="Compact"/>
        <w:numPr>
          <w:ilvl w:val="0"/>
          <w:numId w:val="1003"/>
        </w:numPr>
      </w:pPr>
      <w:r>
        <w:rPr>
          <w:b/>
          <w:bCs/>
        </w:rPr>
        <w:t xml:space="preserve">Weather and usage:</w:t>
      </w:r>
      <w:r>
        <w:t xml:space="preserve"> </w:t>
      </w:r>
      <w:r>
        <w:t xml:space="preserve">Q2 2025 EPS included an estimated $0.03 unfavorable weather effect, creating a potentially easier comparison if 2026 weather was normal. (</w:t>
      </w:r>
      <w:hyperlink r:id="rId14">
        <w:r>
          <w:rPr>
            <w:rStyle w:val="Hyperlink"/>
          </w:rPr>
          <w:t xml:space="preserve">s26.q4cdn.com</w:t>
        </w:r>
      </w:hyperlink>
      <w:r>
        <w:t xml:space="preserve">)</w:t>
      </w:r>
    </w:p>
    <w:p>
      <w:pPr>
        <w:pStyle w:val="FirstParagraph"/>
      </w:pPr>
      <w:r>
        <w:t xml:space="preserve">The best operating signal would be a widening spread between rate-driven revenue growth and the combined increase in O&amp;M, depreciation and financing costs.</w:t>
      </w:r>
    </w:p>
    <w:p>
      <w:r>
        <w:pict>
          <v:rect style="width:0;height:1.5pt" o:hralign="center" o:hrstd="t" o:hr="t"/>
        </w:pict>
      </w:r>
    </w:p>
    <w:bookmarkEnd w:id="19"/>
    <w:bookmarkStart w:id="22" w:name="Xa5124911eb866f38acd102ea122340f6a46bce6"/>
    <w:p>
      <w:pPr>
        <w:pStyle w:val="Heading2"/>
      </w:pPr>
      <w:r>
        <w:t xml:space="preserve">Capital spending, acquisitions and financing</w:t>
      </w:r>
    </w:p>
    <w:p>
      <w:pPr>
        <w:pStyle w:val="FirstParagraph"/>
      </w:pPr>
      <w:r>
        <w:t xml:space="preserve">AWK plans to invest approximately</w:t>
      </w:r>
      <w:r>
        <w:t xml:space="preserve"> </w:t>
      </w:r>
      <w:r>
        <w:rPr>
          <w:b/>
          <w:bCs/>
        </w:rPr>
        <w:t xml:space="preserve">$3.7 billion in 2026</w:t>
      </w:r>
      <w:r>
        <w:t xml:space="preserve">, including acquisitions, after investing</w:t>
      </w:r>
      <w:r>
        <w:t xml:space="preserve"> </w:t>
      </w:r>
      <m:oMath>
        <m:r>
          <m:t>652</m:t>
        </m:r>
        <m:r>
          <m:t>m</m:t>
        </m:r>
        <m:r>
          <m:t>i</m:t>
        </m:r>
        <m:r>
          <m:t>l</m:t>
        </m:r>
        <m:r>
          <m:t>l</m:t>
        </m:r>
        <m:r>
          <m:t>i</m:t>
        </m:r>
        <m:r>
          <m:t>o</m:t>
        </m:r>
        <m:r>
          <m:t>n</m:t>
        </m:r>
        <m:r>
          <m:t>i</m:t>
        </m:r>
        <m:r>
          <m:t>n</m:t>
        </m:r>
        <m:r>
          <m:t>Q</m:t>
        </m:r>
        <m:r>
          <m:t>1</m:t>
        </m:r>
        <m:r>
          <m:rPr>
            <m:sty m:val="p"/>
          </m:rPr>
          <m:t>.</m:t>
        </m:r>
        <m:r>
          <m:t>I</m:t>
        </m:r>
        <m:r>
          <m:t>t</m:t>
        </m:r>
        <m:r>
          <m:t>s</m:t>
        </m:r>
        <m:r>
          <m:t>b</m:t>
        </m:r>
        <m:r>
          <m:t>r</m:t>
        </m:r>
        <m:r>
          <m:t>o</m:t>
        </m:r>
        <m:r>
          <m:t>a</m:t>
        </m:r>
        <m:r>
          <m:t>d</m:t>
        </m:r>
        <m:r>
          <m:t>e</m:t>
        </m:r>
        <m:r>
          <m:t>r</m:t>
        </m:r>
        <m:r>
          <m:t>s</m:t>
        </m:r>
        <m:r>
          <m:t>t</m:t>
        </m:r>
        <m:r>
          <m:t>a</m:t>
        </m:r>
        <m:r>
          <m:t>n</m:t>
        </m:r>
        <m:r>
          <m:t>d</m:t>
        </m:r>
        <m:r>
          <m:t>a</m:t>
        </m:r>
        <m:r>
          <m:t>l</m:t>
        </m:r>
        <m:r>
          <m:t>o</m:t>
        </m:r>
        <m:r>
          <m:t>n</m:t>
        </m:r>
        <m:r>
          <m:t>e</m:t>
        </m:r>
        <m:r>
          <m:t>p</m:t>
        </m:r>
        <m:r>
          <m:t>l</m:t>
        </m:r>
        <m:r>
          <m:t>a</m:t>
        </m:r>
        <m:r>
          <m:t>n</m:t>
        </m:r>
        <m:r>
          <m:t>c</m:t>
        </m:r>
        <m:r>
          <m:t>a</m:t>
        </m:r>
        <m:r>
          <m:t>l</m:t>
        </m:r>
        <m:r>
          <m:t>l</m:t>
        </m:r>
        <m:r>
          <m:t>s</m:t>
        </m:r>
        <m:r>
          <m:t>f</m:t>
        </m:r>
        <m:r>
          <m:t>o</m:t>
        </m:r>
        <m:r>
          <m:t>r</m:t>
        </m:r>
        <m:r>
          <m:rPr>
            <m:sty m:val="p"/>
          </m:rPr>
          <m:t>*</m:t>
        </m:r>
        <m:r>
          <m:rPr>
            <m:sty m:val="p"/>
          </m:rPr>
          <m:t>*</m:t>
        </m:r>
      </m:oMath>
      <w:r>
        <w:t xml:space="preserve">19–$20 billion** of investment from 2026 through 2030, including</w:t>
      </w:r>
      <w:r>
        <w:t xml:space="preserve"> </w:t>
      </w:r>
      <m:oMath>
        <m:r>
          <m:t>2.0</m:t>
        </m:r>
        <m:r>
          <m:rPr>
            <m:sty m:val="p"/>
          </m:rPr>
          <m:t>–</m:t>
        </m:r>
      </m:oMath>
      <w:r>
        <w:t xml:space="preserve">2.5 billion of acquisitions. Management expects this to support approximately 8%–9% annual rate-base growth. (</w:t>
      </w:r>
      <w:hyperlink r:id="rId14">
        <w:r>
          <w:rPr>
            <w:rStyle w:val="Hyperlink"/>
          </w:rPr>
          <w:t xml:space="preserve">s26.q4cdn.com</w:t>
        </w:r>
      </w:hyperlink>
      <w:r>
        <w:t xml:space="preserve">)</w:t>
      </w:r>
    </w:p>
    <w:p>
      <w:pPr>
        <w:pStyle w:val="BodyText"/>
      </w:pPr>
      <w:r>
        <w:t xml:space="preserve">On June 1, AWK completed its approximately</w:t>
      </w:r>
      <w:r>
        <w:t xml:space="preserve"> </w:t>
      </w:r>
      <w:r>
        <w:rPr>
          <w:b/>
          <w:bCs/>
        </w:rPr>
        <w:t xml:space="preserve">$315 million acquisition of Nexus Water Group systems</w:t>
      </w:r>
      <w:r>
        <w:t xml:space="preserve">, adding roughly 47,000 customer connections across eight states. It had another approximately 58,000 connections under agreement as of that date. (</w:t>
      </w:r>
      <w:hyperlink r:id="rId20">
        <w:r>
          <w:rPr>
            <w:rStyle w:val="Hyperlink"/>
          </w:rPr>
          <w:t xml:space="preserve">newsroom.amwater.com</w:t>
        </w:r>
      </w:hyperlink>
      <w:r>
        <w:t xml:space="preserve">)</w:t>
      </w:r>
    </w:p>
    <w:bookmarkStart w:id="21" w:name="key-questions"/>
    <w:p>
      <w:pPr>
        <w:pStyle w:val="Heading3"/>
      </w:pPr>
      <w:r>
        <w:t xml:space="preserve">Key questions</w:t>
      </w:r>
    </w:p>
    <w:p>
      <w:pPr>
        <w:pStyle w:val="Compact"/>
        <w:numPr>
          <w:ilvl w:val="0"/>
          <w:numId w:val="1004"/>
        </w:numPr>
      </w:pPr>
      <w:r>
        <w:t xml:space="preserve">Is the $3.7 billion 2026 investment plan still on schedule?</w:t>
      </w:r>
    </w:p>
    <w:p>
      <w:pPr>
        <w:pStyle w:val="Compact"/>
        <w:numPr>
          <w:ilvl w:val="0"/>
          <w:numId w:val="1004"/>
        </w:numPr>
      </w:pPr>
      <w:r>
        <w:t xml:space="preserve">What is the initial earnings contribution from Nexus?</w:t>
      </w:r>
    </w:p>
    <w:p>
      <w:pPr>
        <w:pStyle w:val="Compact"/>
        <w:numPr>
          <w:ilvl w:val="0"/>
          <w:numId w:val="1004"/>
        </w:numPr>
      </w:pPr>
      <w:r>
        <w:t xml:space="preserve">Are integration expenses or acquired-system remediation costs running above plan?</w:t>
      </w:r>
    </w:p>
    <w:p>
      <w:pPr>
        <w:pStyle w:val="Compact"/>
        <w:numPr>
          <w:ilvl w:val="0"/>
          <w:numId w:val="1004"/>
        </w:numPr>
      </w:pPr>
      <w:r>
        <w:t xml:space="preserve">Has AWK settled the roughly $1 billion equity forward that management previously expected to settle around midyear?</w:t>
      </w:r>
    </w:p>
    <w:p>
      <w:pPr>
        <w:pStyle w:val="Compact"/>
        <w:numPr>
          <w:ilvl w:val="0"/>
          <w:numId w:val="1004"/>
        </w:numPr>
      </w:pPr>
      <w:r>
        <w:t xml:space="preserve">Does the Corporate Alternative Minimum Tax benefit reduce future equity needs?</w:t>
      </w:r>
    </w:p>
    <w:p>
      <w:pPr>
        <w:pStyle w:val="FirstParagraph"/>
      </w:pPr>
      <w:r>
        <w:t xml:space="preserve">At the end of Q1, debt-to-capital was approximately 58%, close to but below AWK's long-term ceiling of 60%. Management also identified an expected $84 million tax refund and potentially about $100 million per year of future cash benefit from revised corporate-alternative-minimum-tax treatment. Those benefits could improve financing flexibility, although management had indicated that any resulting change to equity needs would be addressed with its Q3 plan refresh. (</w:t>
      </w:r>
      <w:hyperlink r:id="rId14">
        <w:r>
          <w:rPr>
            <w:rStyle w:val="Hyperlink"/>
          </w:rPr>
          <w:t xml:space="preserve">s26.q4cdn.com</w:t>
        </w:r>
      </w:hyperlink>
      <w:r>
        <w:t xml:space="preserve">)</w:t>
      </w:r>
    </w:p>
    <w:p>
      <w:r>
        <w:pict>
          <v:rect style="width:0;height:1.5pt" o:hralign="center" o:hrstd="t" o:hr="t"/>
        </w:pict>
      </w:r>
    </w:p>
    <w:bookmarkEnd w:id="21"/>
    <w:bookmarkEnd w:id="22"/>
    <w:bookmarkStart w:id="26" w:name="X1b633702baab0de840d76c50f0288b6653a2403"/>
    <w:p>
      <w:pPr>
        <w:pStyle w:val="Heading2"/>
      </w:pPr>
      <w:r>
        <w:t xml:space="preserve">Essential Utilities merger: steady progress, but major approvals remain</w:t>
      </w:r>
    </w:p>
    <w:p>
      <w:pPr>
        <w:pStyle w:val="FirstParagraph"/>
      </w:pPr>
      <w:r>
        <w:t xml:space="preserve">AWK's all-stock acquisition of Essential Utilities would create a combined company with a roughly $40 billion equity value at announcement and approximately 4.7 million water connections. AWK shareholders are expected to own about 69% of the combined company. The transaction remains targeted to close by the end of Q1 2027. (</w:t>
      </w:r>
      <w:hyperlink r:id="rId23">
        <w:r>
          <w:rPr>
            <w:rStyle w:val="Hyperlink"/>
          </w:rPr>
          <w:t xml:space="preserve">ir.amwater.com</w:t>
        </w:r>
      </w:hyperlink>
      <w:r>
        <w:t xml:space="preserve">)</w:t>
      </w:r>
    </w:p>
    <w:p>
      <w:pPr>
        <w:pStyle w:val="BodyText"/>
      </w:pPr>
      <w:r>
        <w:t xml:space="preserve">Since Q1 earnings:</w:t>
      </w:r>
    </w:p>
    <w:p>
      <w:pPr>
        <w:pStyle w:val="Compact"/>
        <w:numPr>
          <w:ilvl w:val="0"/>
          <w:numId w:val="1005"/>
        </w:numPr>
      </w:pPr>
      <w:r>
        <w:t xml:space="preserve">Kentucky approved the transaction on April 21.</w:t>
      </w:r>
    </w:p>
    <w:p>
      <w:pPr>
        <w:pStyle w:val="Compact"/>
        <w:numPr>
          <w:ilvl w:val="0"/>
          <w:numId w:val="1005"/>
        </w:numPr>
      </w:pPr>
      <w:r>
        <w:t xml:space="preserve">Ohio approved it on May 13.</w:t>
      </w:r>
    </w:p>
    <w:p>
      <w:pPr>
        <w:pStyle w:val="Compact"/>
        <w:numPr>
          <w:ilvl w:val="0"/>
          <w:numId w:val="1005"/>
        </w:numPr>
      </w:pPr>
      <w:r>
        <w:t xml:space="preserve">Virginia approved it on June 22.</w:t>
      </w:r>
    </w:p>
    <w:p>
      <w:pPr>
        <w:pStyle w:val="Compact"/>
        <w:numPr>
          <w:ilvl w:val="0"/>
          <w:numId w:val="1005"/>
        </w:numPr>
      </w:pPr>
      <w:r>
        <w:t xml:space="preserve">Shareholders of both companies have already approved the transaction. (</w:t>
      </w:r>
      <w:hyperlink r:id="rId24">
        <w:r>
          <w:rPr>
            <w:rStyle w:val="Hyperlink"/>
          </w:rPr>
          <w:t xml:space="preserve">ir.amwater.com</w:t>
        </w:r>
      </w:hyperlink>
      <w:r>
        <w:t xml:space="preserve">)</w:t>
      </w:r>
    </w:p>
    <w:p>
      <w:pPr>
        <w:pStyle w:val="FirstParagraph"/>
      </w:pPr>
      <w:r>
        <w:t xml:space="preserve">Approvals were still required in major jurisdictions including Pennsylvania, New Jersey, North Carolina, Texas and Illinois, along with federal antitrust clearance. (</w:t>
      </w:r>
      <w:hyperlink r:id="rId25">
        <w:r>
          <w:rPr>
            <w:rStyle w:val="Hyperlink"/>
          </w:rPr>
          <w:t xml:space="preserve">sec.gov</w:t>
        </w:r>
      </w:hyperlink>
      <w:r>
        <w:t xml:space="preserve">)</w:t>
      </w:r>
    </w:p>
    <w:p>
      <w:pPr>
        <w:pStyle w:val="BodyText"/>
      </w:pPr>
      <w:r>
        <w:t xml:space="preserve">Investors should listen for:</w:t>
      </w:r>
    </w:p>
    <w:p>
      <w:pPr>
        <w:pStyle w:val="Compact"/>
        <w:numPr>
          <w:ilvl w:val="0"/>
          <w:numId w:val="1006"/>
        </w:numPr>
      </w:pPr>
      <w:r>
        <w:t xml:space="preserve">Any change to the Q1 2027 closing target.</w:t>
      </w:r>
    </w:p>
    <w:p>
      <w:pPr>
        <w:pStyle w:val="Compact"/>
        <w:numPr>
          <w:ilvl w:val="0"/>
          <w:numId w:val="1006"/>
        </w:numPr>
      </w:pPr>
      <w:r>
        <w:t xml:space="preserve">Progress in Pennsylvania and New Jersey, where affordability concessions may be especially important.</w:t>
      </w:r>
    </w:p>
    <w:p>
      <w:pPr>
        <w:pStyle w:val="Compact"/>
        <w:numPr>
          <w:ilvl w:val="0"/>
          <w:numId w:val="1006"/>
        </w:numPr>
      </w:pPr>
      <w:r>
        <w:t xml:space="preserve">Whether regulators are seeking bill credits, rate freezes, capital commitments or governance conditions.</w:t>
      </w:r>
    </w:p>
    <w:p>
      <w:pPr>
        <w:pStyle w:val="Compact"/>
        <w:numPr>
          <w:ilvl w:val="0"/>
          <w:numId w:val="1006"/>
        </w:numPr>
      </w:pPr>
      <w:r>
        <w:t xml:space="preserve">Confirmation that planned synergies and integration costs remain intact.</w:t>
      </w:r>
    </w:p>
    <w:p>
      <w:pPr>
        <w:pStyle w:val="Compact"/>
        <w:numPr>
          <w:ilvl w:val="0"/>
          <w:numId w:val="1006"/>
        </w:numPr>
      </w:pPr>
      <w:r>
        <w:t xml:space="preserve">Completion or timing of the Hart-Scott-Rodino filing.</w:t>
      </w:r>
    </w:p>
    <w:p>
      <w:pPr>
        <w:pStyle w:val="FirstParagraph"/>
      </w:pPr>
      <w:r>
        <w:t xml:space="preserve">An unchanged closing target would be reassuring. A delay would not necessarily damage AWK's standalone earnings outlook, but it would prolong uncertainty and transaction costs.</w:t>
      </w:r>
    </w:p>
    <w:p>
      <w:r>
        <w:pict>
          <v:rect style="width:0;height:1.5pt" o:hralign="center" o:hrstd="t" o:hr="t"/>
        </w:pict>
      </w:r>
    </w:p>
    <w:bookmarkEnd w:id="26"/>
    <w:bookmarkStart w:id="27" w:name="pfas-capital-opportunity-and-cost-risk"/>
    <w:p>
      <w:pPr>
        <w:pStyle w:val="Heading2"/>
      </w:pPr>
      <w:r>
        <w:t xml:space="preserve">PFAS: capital opportunity and cost risk</w:t>
      </w:r>
    </w:p>
    <w:p>
      <w:pPr>
        <w:pStyle w:val="FirstParagraph"/>
      </w:pPr>
      <w:r>
        <w:t xml:space="preserve">AWK estimates approximately</w:t>
      </w:r>
      <w:r>
        <w:t xml:space="preserve"> </w:t>
      </w:r>
      <w:r>
        <w:rPr>
          <w:b/>
          <w:bCs/>
        </w:rPr>
        <w:t xml:space="preserve">$2 billion of PFAS capital investment</w:t>
      </w:r>
      <w:r>
        <w:t xml:space="preserve"> </w:t>
      </w:r>
      <w:r>
        <w:t xml:space="preserve">in its 2026–2030 plan and as much as</w:t>
      </w:r>
      <w:r>
        <w:t xml:space="preserve"> </w:t>
      </w:r>
      <m:oMath>
        <m:r>
          <m:t>50</m:t>
        </m:r>
        <m:r>
          <m:t>m</m:t>
        </m:r>
        <m:r>
          <m:t>i</m:t>
        </m:r>
        <m:r>
          <m:t>l</m:t>
        </m:r>
        <m:r>
          <m:t>l</m:t>
        </m:r>
        <m:r>
          <m:t>i</m:t>
        </m:r>
        <m:r>
          <m:t>o</m:t>
        </m:r>
        <m:r>
          <m:t>n</m:t>
        </m:r>
        <m:r>
          <m:t>o</m:t>
        </m:r>
        <m:r>
          <m:t>f</m:t>
        </m:r>
        <m:r>
          <m:t>a</m:t>
        </m:r>
        <m:r>
          <m:t>n</m:t>
        </m:r>
        <m:r>
          <m:t>n</m:t>
        </m:r>
        <m:r>
          <m:t>u</m:t>
        </m:r>
        <m:r>
          <m:t>a</m:t>
        </m:r>
        <m:r>
          <m:t>l</m:t>
        </m:r>
        <m:r>
          <m:t>o</m:t>
        </m:r>
        <m:r>
          <m:t>p</m:t>
        </m:r>
        <m:r>
          <m:t>e</m:t>
        </m:r>
        <m:r>
          <m:t>r</m:t>
        </m:r>
        <m:r>
          <m:t>a</m:t>
        </m:r>
        <m:r>
          <m:t>t</m:t>
        </m:r>
        <m:r>
          <m:t>i</m:t>
        </m:r>
        <m:r>
          <m:t>n</m:t>
        </m:r>
        <m:r>
          <m:t>g</m:t>
        </m:r>
        <m:r>
          <m:t>e</m:t>
        </m:r>
        <m:r>
          <m:t>x</m:t>
        </m:r>
        <m:r>
          <m:t>p</m:t>
        </m:r>
        <m:r>
          <m:t>e</m:t>
        </m:r>
        <m:r>
          <m:t>n</m:t>
        </m:r>
        <m:r>
          <m:t>s</m:t>
        </m:r>
        <m:r>
          <m:t>e</m:t>
        </m:r>
        <m:r>
          <m:rPr>
            <m:sty m:val="p"/>
          </m:rPr>
          <m:t>.</m:t>
        </m:r>
        <m:r>
          <m:t>A</m:t>
        </m:r>
        <m:r>
          <m:t>s</m:t>
        </m:r>
        <m:r>
          <m:t>o</m:t>
        </m:r>
        <m:r>
          <m:t>f</m:t>
        </m:r>
        <m:r>
          <m:t>M</m:t>
        </m:r>
        <m:r>
          <m:t>a</m:t>
        </m:r>
        <m:r>
          <m:t>r</m:t>
        </m:r>
        <m:r>
          <m:t>c</m:t>
        </m:r>
        <m:r>
          <m:t>h</m:t>
        </m:r>
        <m:r>
          <m:t>31</m:t>
        </m:r>
        <m:r>
          <m:rPr>
            <m:sty m:val="p"/>
          </m:rPr>
          <m:t>,</m:t>
        </m:r>
        <m:r>
          <m:t>i</m:t>
        </m:r>
        <m:r>
          <m:t>t</m:t>
        </m:r>
        <m:r>
          <m:t>s</m:t>
        </m:r>
        <m:r>
          <m:t>u</m:t>
        </m:r>
        <m:r>
          <m:t>t</m:t>
        </m:r>
        <m:r>
          <m:t>i</m:t>
        </m:r>
        <m:r>
          <m:t>l</m:t>
        </m:r>
        <m:r>
          <m:t>i</m:t>
        </m:r>
        <m:r>
          <m:t>t</m:t>
        </m:r>
        <m:r>
          <m:t>y</m:t>
        </m:r>
        <m:r>
          <m:t>s</m:t>
        </m:r>
        <m:r>
          <m:t>u</m:t>
        </m:r>
        <m:r>
          <m:t>b</m:t>
        </m:r>
        <m:r>
          <m:t>s</m:t>
        </m:r>
        <m:r>
          <m:t>i</m:t>
        </m:r>
        <m:r>
          <m:t>d</m:t>
        </m:r>
        <m:r>
          <m:t>i</m:t>
        </m:r>
        <m:r>
          <m:t>a</m:t>
        </m:r>
        <m:r>
          <m:t>r</m:t>
        </m:r>
        <m:r>
          <m:t>i</m:t>
        </m:r>
        <m:r>
          <m:t>e</m:t>
        </m:r>
        <m:r>
          <m:t>s</m:t>
        </m:r>
        <m:r>
          <m:t>h</m:t>
        </m:r>
        <m:r>
          <m:t>a</m:t>
        </m:r>
        <m:r>
          <m:t>d</m:t>
        </m:r>
        <m:r>
          <m:t>r</m:t>
        </m:r>
        <m:r>
          <m:t>e</m:t>
        </m:r>
        <m:r>
          <m:t>c</m:t>
        </m:r>
        <m:r>
          <m:t>e</m:t>
        </m:r>
        <m:r>
          <m:t>i</m:t>
        </m:r>
        <m:r>
          <m:t>v</m:t>
        </m:r>
        <m:r>
          <m:t>e</m:t>
        </m:r>
        <m:r>
          <m:t>d</m:t>
        </m:r>
        <m:r>
          <m:t>a</m:t>
        </m:r>
        <m:r>
          <m:t>b</m:t>
        </m:r>
        <m:r>
          <m:t>o</m:t>
        </m:r>
        <m:r>
          <m:t>u</m:t>
        </m:r>
        <m:r>
          <m:t>t</m:t>
        </m:r>
        <m:r>
          <m:rPr>
            <m:sty m:val="p"/>
          </m:rPr>
          <m:t>*</m:t>
        </m:r>
        <m:r>
          <m:rPr>
            <m:sty m:val="p"/>
          </m:rPr>
          <m:t>*</m:t>
        </m:r>
      </m:oMath>
      <w:r>
        <w:t xml:space="preserve">185 million of net PFAS settlement proceeds**, which the company intends to use for customer benefit where regulators permit. Additional payments may arrive during the remainder of 2026. (</w:t>
      </w:r>
      <w:hyperlink r:id="rId14">
        <w:r>
          <w:rPr>
            <w:rStyle w:val="Hyperlink"/>
          </w:rPr>
          <w:t xml:space="preserve">s26.q4cdn.com</w:t>
        </w:r>
      </w:hyperlink>
      <w:r>
        <w:t xml:space="preserve">)</w:t>
      </w:r>
    </w:p>
    <w:p>
      <w:pPr>
        <w:pStyle w:val="BodyText"/>
      </w:pPr>
      <w:r>
        <w:t xml:space="preserve">Relevant Q2 disclosures would include:</w:t>
      </w:r>
    </w:p>
    <w:p>
      <w:pPr>
        <w:pStyle w:val="Compact"/>
        <w:numPr>
          <w:ilvl w:val="0"/>
          <w:numId w:val="1007"/>
        </w:numPr>
      </w:pPr>
      <w:r>
        <w:t xml:space="preserve">Additional settlement proceeds received.</w:t>
      </w:r>
    </w:p>
    <w:p>
      <w:pPr>
        <w:pStyle w:val="Compact"/>
        <w:numPr>
          <w:ilvl w:val="0"/>
          <w:numId w:val="1007"/>
        </w:numPr>
      </w:pPr>
      <w:r>
        <w:t xml:space="preserve">Regulatory approval for deploying the proceeds.</w:t>
      </w:r>
    </w:p>
    <w:p>
      <w:pPr>
        <w:pStyle w:val="Compact"/>
        <w:numPr>
          <w:ilvl w:val="0"/>
          <w:numId w:val="1007"/>
        </w:numPr>
      </w:pPr>
      <w:r>
        <w:t xml:space="preserve">Updated PFAS project schedules and costs.</w:t>
      </w:r>
    </w:p>
    <w:p>
      <w:pPr>
        <w:pStyle w:val="Compact"/>
        <w:numPr>
          <w:ilvl w:val="0"/>
          <w:numId w:val="1007"/>
        </w:numPr>
      </w:pPr>
      <w:r>
        <w:t xml:space="preserve">Whether supply contracts are containing activated-carbon and equipment inflation.</w:t>
      </w:r>
    </w:p>
    <w:p>
      <w:pPr>
        <w:pStyle w:val="Compact"/>
        <w:numPr>
          <w:ilvl w:val="0"/>
          <w:numId w:val="1007"/>
        </w:numPr>
      </w:pPr>
      <w:r>
        <w:t xml:space="preserve">Whether PFAS spending is being recovered promptly through base rates or surcharge mechanisms.</w:t>
      </w:r>
    </w:p>
    <w:p>
      <w:pPr>
        <w:pStyle w:val="FirstParagraph"/>
      </w:pPr>
      <w:r>
        <w:t xml:space="preserve">The long-term thesis benefits from the rate-base investment associated with environmental compliance, but only if recovery timing and customer affordability remain manageable.</w:t>
      </w:r>
    </w:p>
    <w:p>
      <w:r>
        <w:pict>
          <v:rect style="width:0;height:1.5pt" o:hralign="center" o:hrstd="t" o:hr="t"/>
        </w:pict>
      </w:r>
    </w:p>
    <w:bookmarkEnd w:id="27"/>
    <w:bookmarkStart w:id="31" w:name="scenario-framework"/>
    <w:p>
      <w:pPr>
        <w:pStyle w:val="Heading2"/>
      </w:pPr>
      <w:r>
        <w:t xml:space="preserve">Scenario framework</w:t>
      </w:r>
    </w:p>
    <w:bookmarkStart w:id="28" w:name="bull-case"/>
    <w:p>
      <w:pPr>
        <w:pStyle w:val="Heading3"/>
      </w:pPr>
      <w:r>
        <w:t xml:space="preserve">Bull case</w:t>
      </w:r>
    </w:p>
    <w:p>
      <w:pPr>
        <w:pStyle w:val="Compact"/>
        <w:numPr>
          <w:ilvl w:val="0"/>
          <w:numId w:val="1008"/>
        </w:numPr>
      </w:pPr>
      <w:r>
        <w:t xml:space="preserve">Adjusted EPS at or above the high end of published estimates, roughly</w:t>
      </w:r>
      <w:r>
        <w:t xml:space="preserve"> </w:t>
      </w:r>
      <w:r>
        <w:rPr>
          <w:b/>
          <w:bCs/>
        </w:rPr>
        <w:t xml:space="preserve">$1.63</w:t>
      </w:r>
      <w:r>
        <w:t xml:space="preserve">.</w:t>
      </w:r>
    </w:p>
    <w:p>
      <w:pPr>
        <w:pStyle w:val="Compact"/>
        <w:numPr>
          <w:ilvl w:val="0"/>
          <w:numId w:val="1008"/>
        </w:numPr>
      </w:pPr>
      <w:r>
        <w:t xml:space="preserve">Full-year guidance reaffirmed with confidence in the upper half.</w:t>
      </w:r>
    </w:p>
    <w:p>
      <w:pPr>
        <w:pStyle w:val="Compact"/>
        <w:numPr>
          <w:ilvl w:val="0"/>
          <w:numId w:val="1008"/>
        </w:numPr>
      </w:pPr>
      <w:r>
        <w:t xml:space="preserve">Pennsylvania's $74.9 million order was substantially anticipated.</w:t>
      </w:r>
    </w:p>
    <w:p>
      <w:pPr>
        <w:pStyle w:val="Compact"/>
        <w:numPr>
          <w:ilvl w:val="0"/>
          <w:numId w:val="1008"/>
        </w:numPr>
      </w:pPr>
      <w:r>
        <w:t xml:space="preserve">New Jersey rates remain on track for the fall.</w:t>
      </w:r>
    </w:p>
    <w:p>
      <w:pPr>
        <w:pStyle w:val="Compact"/>
        <w:numPr>
          <w:ilvl w:val="0"/>
          <w:numId w:val="1008"/>
        </w:numPr>
      </w:pPr>
      <w:r>
        <w:t xml:space="preserve">Better O&amp;M control offsets depreciation and interest expense.</w:t>
      </w:r>
    </w:p>
    <w:p>
      <w:pPr>
        <w:pStyle w:val="Compact"/>
        <w:numPr>
          <w:ilvl w:val="0"/>
          <w:numId w:val="1008"/>
        </w:numPr>
      </w:pPr>
      <w:r>
        <w:t xml:space="preserve">Nexus integration begins contributing as expected.</w:t>
      </w:r>
    </w:p>
    <w:p>
      <w:pPr>
        <w:pStyle w:val="Compact"/>
        <w:numPr>
          <w:ilvl w:val="0"/>
          <w:numId w:val="1008"/>
        </w:numPr>
      </w:pPr>
      <w:r>
        <w:t xml:space="preserve">Essential merger remains on track for Q1 2027 with no onerous new conditions.</w:t>
      </w:r>
    </w:p>
    <w:p>
      <w:pPr>
        <w:pStyle w:val="FirstParagraph"/>
      </w:pPr>
      <w:r>
        <w:rPr>
          <w:b/>
          <w:bCs/>
        </w:rPr>
        <w:t xml:space="preserve">Likely interpretation:</w:t>
      </w:r>
      <w:r>
        <w:t xml:space="preserve"> </w:t>
      </w:r>
      <w:r>
        <w:t xml:space="preserve">The second-half earnings ramp has been de-risked, supporting AWK's premium valuation.</w:t>
      </w:r>
    </w:p>
    <w:bookmarkEnd w:id="28"/>
    <w:bookmarkStart w:id="29" w:name="base-case"/>
    <w:p>
      <w:pPr>
        <w:pStyle w:val="Heading3"/>
      </w:pPr>
      <w:r>
        <w:t xml:space="preserve">Base case</w:t>
      </w:r>
    </w:p>
    <w:p>
      <w:pPr>
        <w:pStyle w:val="Compact"/>
        <w:numPr>
          <w:ilvl w:val="0"/>
          <w:numId w:val="1009"/>
        </w:numPr>
      </w:pPr>
      <w:r>
        <w:t xml:space="preserve">EPS around</w:t>
      </w:r>
      <w:r>
        <w:t xml:space="preserve"> </w:t>
      </w:r>
      <m:oMath>
        <m:r>
          <m:t>1.58</m:t>
        </m:r>
        <m:r>
          <m:rPr>
            <m:sty m:val="p"/>
          </m:rPr>
          <m:t>–</m:t>
        </m:r>
      </m:oMath>
      <w:r>
        <w:rPr>
          <w:b/>
          <w:bCs/>
        </w:rPr>
        <w:t xml:space="preserve">1.59</w:t>
      </w:r>
      <w:r>
        <w:t xml:space="preserve">.</w:t>
      </w:r>
    </w:p>
    <w:p>
      <w:pPr>
        <w:pStyle w:val="Compact"/>
        <w:numPr>
          <w:ilvl w:val="0"/>
          <w:numId w:val="1009"/>
        </w:numPr>
      </w:pPr>
      <m:oMath>
        <m:r>
          <m:t>6.02</m:t>
        </m:r>
        <m:r>
          <m:rPr>
            <m:sty m:val="p"/>
          </m:rPr>
          <m:t>–</m:t>
        </m:r>
      </m:oMath>
      <w:r>
        <w:t xml:space="preserve">6.12 guidance reaffirmed without narrowing.</w:t>
      </w:r>
    </w:p>
    <w:p>
      <w:pPr>
        <w:pStyle w:val="Compact"/>
        <w:numPr>
          <w:ilvl w:val="0"/>
          <w:numId w:val="1009"/>
        </w:numPr>
      </w:pPr>
      <w:r>
        <w:t xml:space="preserve">Pennsylvania creates some pressure, but management identifies offsets.</w:t>
      </w:r>
    </w:p>
    <w:p>
      <w:pPr>
        <w:pStyle w:val="Compact"/>
        <w:numPr>
          <w:ilvl w:val="0"/>
          <w:numId w:val="1009"/>
        </w:numPr>
      </w:pPr>
      <w:r>
        <w:t xml:space="preserve">New Jersey timing remains intact.</w:t>
      </w:r>
    </w:p>
    <w:p>
      <w:pPr>
        <w:pStyle w:val="Compact"/>
        <w:numPr>
          <w:ilvl w:val="0"/>
          <w:numId w:val="1009"/>
        </w:numPr>
      </w:pPr>
      <w:r>
        <w:t xml:space="preserve">Capital spending and financing proceed largely as planned.</w:t>
      </w:r>
    </w:p>
    <w:p>
      <w:pPr>
        <w:pStyle w:val="Compact"/>
        <w:numPr>
          <w:ilvl w:val="0"/>
          <w:numId w:val="1009"/>
        </w:numPr>
      </w:pPr>
      <w:r>
        <w:t xml:space="preserve">No change to the merger timetable.</w:t>
      </w:r>
    </w:p>
    <w:p>
      <w:pPr>
        <w:pStyle w:val="FirstParagraph"/>
      </w:pPr>
      <w:r>
        <w:rPr>
          <w:b/>
          <w:bCs/>
        </w:rPr>
        <w:t xml:space="preserve">Likely interpretation:</w:t>
      </w:r>
      <w:r>
        <w:t xml:space="preserve"> </w:t>
      </w:r>
      <w:r>
        <w:t xml:space="preserve">A satisfactory utility quarter. Stock reaction may be limited unless management provides unusually strong regulatory or merger commentary.</w:t>
      </w:r>
    </w:p>
    <w:bookmarkEnd w:id="29"/>
    <w:bookmarkStart w:id="30" w:name="bear-case"/>
    <w:p>
      <w:pPr>
        <w:pStyle w:val="Heading3"/>
      </w:pPr>
      <w:r>
        <w:t xml:space="preserve">Bear case</w:t>
      </w:r>
    </w:p>
    <w:p>
      <w:pPr>
        <w:pStyle w:val="Compact"/>
        <w:numPr>
          <w:ilvl w:val="0"/>
          <w:numId w:val="1010"/>
        </w:numPr>
      </w:pPr>
      <w:r>
        <w:t xml:space="preserve">EPS below approximately</w:t>
      </w:r>
      <w:r>
        <w:t xml:space="preserve"> </w:t>
      </w:r>
      <w:r>
        <w:rPr>
          <w:b/>
          <w:bCs/>
        </w:rPr>
        <w:t xml:space="preserve">$1.53</w:t>
      </w:r>
      <w:r>
        <w:t xml:space="preserve">.</w:t>
      </w:r>
    </w:p>
    <w:p>
      <w:pPr>
        <w:pStyle w:val="Compact"/>
        <w:numPr>
          <w:ilvl w:val="0"/>
          <w:numId w:val="1010"/>
        </w:numPr>
      </w:pPr>
      <w:r>
        <w:t xml:space="preserve">Guidance moves toward the low end or is reduced.</w:t>
      </w:r>
    </w:p>
    <w:p>
      <w:pPr>
        <w:pStyle w:val="Compact"/>
        <w:numPr>
          <w:ilvl w:val="0"/>
          <w:numId w:val="1010"/>
        </w:numPr>
      </w:pPr>
      <w:r>
        <w:t xml:space="preserve">Pennsylvania was below the company's embedded assumption.</w:t>
      </w:r>
    </w:p>
    <w:p>
      <w:pPr>
        <w:pStyle w:val="Compact"/>
        <w:numPr>
          <w:ilvl w:val="0"/>
          <w:numId w:val="1010"/>
        </w:numPr>
      </w:pPr>
      <w:r>
        <w:t xml:space="preserve">New Jersey timing slips or regulatory expectations weaken.</w:t>
      </w:r>
    </w:p>
    <w:p>
      <w:pPr>
        <w:pStyle w:val="Compact"/>
        <w:numPr>
          <w:ilvl w:val="0"/>
          <w:numId w:val="1010"/>
        </w:numPr>
      </w:pPr>
      <w:r>
        <w:t xml:space="preserve">O&amp;M, depreciation and interest growth continue to absorb most revenue growth.</w:t>
      </w:r>
    </w:p>
    <w:p>
      <w:pPr>
        <w:pStyle w:val="Compact"/>
        <w:numPr>
          <w:ilvl w:val="0"/>
          <w:numId w:val="1010"/>
        </w:numPr>
      </w:pPr>
      <w:r>
        <w:t xml:space="preserve">More equity or higher financing costs are required.</w:t>
      </w:r>
    </w:p>
    <w:p>
      <w:pPr>
        <w:pStyle w:val="Compact"/>
        <w:numPr>
          <w:ilvl w:val="0"/>
          <w:numId w:val="1010"/>
        </w:numPr>
      </w:pPr>
      <w:r>
        <w:t xml:space="preserve">The Essential merger timetable becomes less certain.</w:t>
      </w:r>
    </w:p>
    <w:p>
      <w:pPr>
        <w:pStyle w:val="FirstParagraph"/>
      </w:pPr>
      <w:r>
        <w:rPr>
          <w:b/>
          <w:bCs/>
        </w:rPr>
        <w:t xml:space="preserve">Likely interpretation:</w:t>
      </w:r>
      <w:r>
        <w:t xml:space="preserve"> </w:t>
      </w:r>
      <w:r>
        <w:t xml:space="preserve">The market begins questioning whether AWK can maintain 7%–9% growth without greater regulatory lag, dilution or affordability pressure.</w:t>
      </w:r>
    </w:p>
    <w:p>
      <w:r>
        <w:pict>
          <v:rect style="width:0;height:1.5pt" o:hralign="center" o:hrstd="t" o:hr="t"/>
        </w:pict>
      </w:r>
    </w:p>
    <w:bookmarkEnd w:id="30"/>
    <w:bookmarkEnd w:id="31"/>
    <w:bookmarkStart w:id="32" w:name="bottom-line"/>
    <w:p>
      <w:pPr>
        <w:pStyle w:val="Heading2"/>
      </w:pPr>
      <w:r>
        <w:t xml:space="preserve">Bottom line</w:t>
      </w:r>
    </w:p>
    <w:p>
      <w:pPr>
        <w:pStyle w:val="FirstParagraph"/>
      </w:pPr>
      <w:r>
        <w:t xml:space="preserve">The central question is not whether AWK reports $1.57, $1.59 or</w:t>
      </w:r>
      <w:r>
        <w:t xml:space="preserve"> </w:t>
      </w:r>
      <m:oMath>
        <m:r>
          <m:t>1.61</m:t>
        </m:r>
        <m:r>
          <m:t>o</m:t>
        </m:r>
        <m:r>
          <m:t>f</m:t>
        </m:r>
        <m:r>
          <m:t>Q</m:t>
        </m:r>
        <m:r>
          <m:t>2</m:t>
        </m:r>
        <m:r>
          <m:t>E</m:t>
        </m:r>
        <m:r>
          <m:t>P</m:t>
        </m:r>
        <m:r>
          <m:t>S</m:t>
        </m:r>
        <m:r>
          <m:rPr>
            <m:sty m:val="p"/>
          </m:rPr>
          <m:t>.</m:t>
        </m:r>
        <m:r>
          <m:t>I</m:t>
        </m:r>
        <m:r>
          <m:t>t</m:t>
        </m:r>
        <m:r>
          <m:t>i</m:t>
        </m:r>
        <m:r>
          <m:t>s</m:t>
        </m:r>
        <m:r>
          <m:t>w</m:t>
        </m:r>
        <m:r>
          <m:t>h</m:t>
        </m:r>
        <m:r>
          <m:t>e</m:t>
        </m:r>
        <m:r>
          <m:t>t</m:t>
        </m:r>
        <m:r>
          <m:t>h</m:t>
        </m:r>
        <m:r>
          <m:t>e</m:t>
        </m:r>
        <m:r>
          <m:t>r</m:t>
        </m:r>
        <m:r>
          <m:t>m</m:t>
        </m:r>
        <m:r>
          <m:t>a</m:t>
        </m:r>
        <m:r>
          <m:t>n</m:t>
        </m:r>
        <m:r>
          <m:t>a</m:t>
        </m:r>
        <m:r>
          <m:t>g</m:t>
        </m:r>
        <m:r>
          <m:t>e</m:t>
        </m:r>
        <m:r>
          <m:t>m</m:t>
        </m:r>
        <m:r>
          <m:t>e</m:t>
        </m:r>
        <m:r>
          <m:t>n</m:t>
        </m:r>
        <m:r>
          <m:t>t</m:t>
        </m:r>
        <m:r>
          <m:t>c</m:t>
        </m:r>
        <m:r>
          <m:t>a</m:t>
        </m:r>
        <m:r>
          <m:t>n</m:t>
        </m:r>
        <m:r>
          <m:t>s</m:t>
        </m:r>
        <m:r>
          <m:t>h</m:t>
        </m:r>
        <m:r>
          <m:t>o</m:t>
        </m:r>
        <m:r>
          <m:t>w</m:t>
        </m:r>
        <m:r>
          <m:t>t</m:t>
        </m:r>
        <m:r>
          <m:t>h</m:t>
        </m:r>
        <m:r>
          <m:t>a</m:t>
        </m:r>
        <m:r>
          <m:t>t</m:t>
        </m:r>
        <m:r>
          <m:t>t</m:t>
        </m:r>
        <m:r>
          <m:t>h</m:t>
        </m:r>
        <m:r>
          <m:t>e</m:t>
        </m:r>
        <m:r>
          <m:rPr>
            <m:sty m:val="p"/>
          </m:rPr>
          <m:t>*</m:t>
        </m:r>
        <m:r>
          <m:rPr>
            <m:sty m:val="p"/>
          </m:rPr>
          <m:t>*</m:t>
        </m:r>
      </m:oMath>
      <w:r>
        <w:t xml:space="preserve">6.02–$6.12 full-year range remains well supported after the Pennsylvania decision**.</w:t>
      </w:r>
    </w:p>
    <w:p>
      <w:pPr>
        <w:pStyle w:val="BodyText"/>
      </w:pPr>
      <w:r>
        <w:t xml:space="preserve">The highest-priority items are:</w:t>
      </w:r>
    </w:p>
    <w:p>
      <w:pPr>
        <w:pStyle w:val="Compact"/>
        <w:numPr>
          <w:ilvl w:val="0"/>
          <w:numId w:val="1011"/>
        </w:numPr>
      </w:pPr>
      <w:r>
        <w:t xml:space="preserve">The Pennsylvania order's impact relative to internal assumptions.</w:t>
      </w:r>
    </w:p>
    <w:p>
      <w:pPr>
        <w:pStyle w:val="Compact"/>
        <w:numPr>
          <w:ilvl w:val="0"/>
          <w:numId w:val="1011"/>
        </w:numPr>
      </w:pPr>
      <w:r>
        <w:t xml:space="preserve">New Jersey's expected rate effective date and outcome.</w:t>
      </w:r>
    </w:p>
    <w:p>
      <w:pPr>
        <w:pStyle w:val="Compact"/>
        <w:numPr>
          <w:ilvl w:val="0"/>
          <w:numId w:val="1011"/>
        </w:numPr>
      </w:pPr>
      <w:r>
        <w:t xml:space="preserve">Improvement in the revenue-versus-cost earnings bridge.</w:t>
      </w:r>
    </w:p>
    <w:p>
      <w:pPr>
        <w:pStyle w:val="Compact"/>
        <w:numPr>
          <w:ilvl w:val="0"/>
          <w:numId w:val="1011"/>
        </w:numPr>
      </w:pPr>
      <w:r>
        <w:t xml:space="preserve">Nexus integration and the status of the equity-forward settlement.</w:t>
      </w:r>
    </w:p>
    <w:p>
      <w:pPr>
        <w:pStyle w:val="Compact"/>
        <w:numPr>
          <w:ilvl w:val="0"/>
          <w:numId w:val="1011"/>
        </w:numPr>
      </w:pPr>
      <w:r>
        <w:t xml:space="preserve">Continued progress toward a Q1 2027 Essential merger close.</w:t>
      </w:r>
    </w:p>
    <w:p>
      <w:pPr>
        <w:pStyle w:val="FirstParagraph"/>
      </w:pPr>
      <w:r>
        <w:t xml:space="preserve">At roughly 22.7 times 2026 consensus earnings, AWK does not need a spectacular quarter, but it does need a credible, low-risk path to the second-half earnings ramp and continued 7%–9% long-term growth.</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3" Target="https://ir.amwater.com/news-and-events/financial-releases/financial-release-details/2025/American-Water-and-Essential-Utilities-to-Merge-as-a-Leading-Regulated-U-S--Water-and-Wastewater-Utility/default.aspx?utm_source=openai" TargetMode="External" /><Relationship Type="http://schemas.openxmlformats.org/officeDocument/2006/relationships/hyperlink" Id="rId12" Target="https://ir.amwater.com/news-and-events/financial-releases/financial-release-details/2026/AMERICAN-WATER-REPORTS-FIRST-QUARTER-2026-RESULTS-ON-TRACK-AFFIRMS-2026-EPS-GUIDANCE-AND-LONG-TERM-TARGETS/default.aspx?utm_source=openai" TargetMode="External" /><Relationship Type="http://schemas.openxmlformats.org/officeDocument/2006/relationships/hyperlink" Id="rId24" Target="https://ir.amwater.com/news-and-events/financial-releases/financial-release-details/2026/American-Water-and-Essential-Utilities-Proposed-Merger-Progresses-with-Approval-from-the-Virginia-State-Corporation-Commission/default.aspx?utm_source=openai" TargetMode="External" /><Relationship Type="http://schemas.openxmlformats.org/officeDocument/2006/relationships/hyperlink" Id="rId9" Target="https://ir.amwater.com/news-and-events/financial-releases/financial-release-details/2026/American-Waters-2026-Second-Quarter-Conference-Call-Scheduled-for-July-30-2026/default.aspx?utm_source=openai" TargetMode="External" /><Relationship Type="http://schemas.openxmlformats.org/officeDocument/2006/relationships/hyperlink" Id="rId15" Target="https://ir.amwater.com/news-and-events/financial-releases/financial-release-details/2026/PUC-Approves-Rate-Adjustment-for-Pennsylvania-American-Water/default.aspx?utm_source=openai" TargetMode="External" /><Relationship Type="http://schemas.openxmlformats.org/officeDocument/2006/relationships/hyperlink" Id="rId20" Target="https://newsroom.amwater.com/2026-06-01-American-Water-Completes-Purchase-of-Nexus-Water-Group-Systems-in-Eight-States?utm_source=openai" TargetMode="External" /><Relationship Type="http://schemas.openxmlformats.org/officeDocument/2006/relationships/hyperlink" Id="rId14" Target="https://s26.q4cdn.com/750150140/files/doc_presentations/2026/Jun/01/June-2026-Investor-Presentation.pdf" TargetMode="External" /><Relationship Type="http://schemas.openxmlformats.org/officeDocument/2006/relationships/hyperlink" Id="rId10" Target="https://www.benzinga.com/quote/AWK/earnings?utm_source=openai" TargetMode="External" /><Relationship Type="http://schemas.openxmlformats.org/officeDocument/2006/relationships/hyperlink" Id="rId25" Target="https://www.sec.gov/Archives/edgar/data/78128/000155278126000359/e26285_wtrg-425.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23" Target="https://ir.amwater.com/news-and-events/financial-releases/financial-release-details/2025/American-Water-and-Essential-Utilities-to-Merge-as-a-Leading-Regulated-U-S--Water-and-Wastewater-Utility/default.aspx?utm_source=openai" TargetMode="External" /><Relationship Type="http://schemas.openxmlformats.org/officeDocument/2006/relationships/hyperlink" Id="rId12" Target="https://ir.amwater.com/news-and-events/financial-releases/financial-release-details/2026/AMERICAN-WATER-REPORTS-FIRST-QUARTER-2026-RESULTS-ON-TRACK-AFFIRMS-2026-EPS-GUIDANCE-AND-LONG-TERM-TARGETS/default.aspx?utm_source=openai" TargetMode="External" /><Relationship Type="http://schemas.openxmlformats.org/officeDocument/2006/relationships/hyperlink" Id="rId24" Target="https://ir.amwater.com/news-and-events/financial-releases/financial-release-details/2026/American-Water-and-Essential-Utilities-Proposed-Merger-Progresses-with-Approval-from-the-Virginia-State-Corporation-Commission/default.aspx?utm_source=openai" TargetMode="External" /><Relationship Type="http://schemas.openxmlformats.org/officeDocument/2006/relationships/hyperlink" Id="rId9" Target="https://ir.amwater.com/news-and-events/financial-releases/financial-release-details/2026/American-Waters-2026-Second-Quarter-Conference-Call-Scheduled-for-July-30-2026/default.aspx?utm_source=openai" TargetMode="External" /><Relationship Type="http://schemas.openxmlformats.org/officeDocument/2006/relationships/hyperlink" Id="rId15" Target="https://ir.amwater.com/news-and-events/financial-releases/financial-release-details/2026/PUC-Approves-Rate-Adjustment-for-Pennsylvania-American-Water/default.aspx?utm_source=openai" TargetMode="External" /><Relationship Type="http://schemas.openxmlformats.org/officeDocument/2006/relationships/hyperlink" Id="rId20" Target="https://newsroom.amwater.com/2026-06-01-American-Water-Completes-Purchase-of-Nexus-Water-Group-Systems-in-Eight-States?utm_source=openai" TargetMode="External" /><Relationship Type="http://schemas.openxmlformats.org/officeDocument/2006/relationships/hyperlink" Id="rId14" Target="https://s26.q4cdn.com/750150140/files/doc_presentations/2026/Jun/01/June-2026-Investor-Presentation.pdf" TargetMode="External" /><Relationship Type="http://schemas.openxmlformats.org/officeDocument/2006/relationships/hyperlink" Id="rId10" Target="https://www.benzinga.com/quote/AWK/earnings?utm_source=openai" TargetMode="External" /><Relationship Type="http://schemas.openxmlformats.org/officeDocument/2006/relationships/hyperlink" Id="rId25" Target="https://www.sec.gov/Archives/edgar/data/78128/000155278126000359/e26285_wtrg-425.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2026-07-29T01:53:33Z</dcterms:created>
  <dcterms:modified xsi:type="dcterms:W3CDTF">2026-07-29T01:53:33Z</dcterms:modified>
</cp:coreProperties>
</file>

<file path=docProps/custom.xml><?xml version="1.0" encoding="utf-8"?>
<Properties xmlns="http://schemas.openxmlformats.org/officeDocument/2006/custom-properties" xmlns:vt="http://schemas.openxmlformats.org/officeDocument/2006/docPropsVTypes"/>
</file>