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awk-2026-q2-earnings-preview"/>
    <w:p>
      <w:pPr>
        <w:pStyle w:val="Heading1"/>
      </w:pPr>
      <w:r>
        <w:t xml:space="preserve">AWK 2026 Q2 Earnings Preview</w:t>
      </w:r>
    </w:p>
    <w:p>
      <w:pPr>
        <w:pStyle w:val="BlockText"/>
      </w:pPr>
      <w:r>
        <w:rPr>
          <w:b/>
          <w:bCs/>
        </w:rPr>
        <w:t xml:space="preserve">Date clarification:</w:t>
      </w:r>
      <w:r>
        <w:t xml:space="preserve"> </w:t>
      </w:r>
      <w:r>
        <w:t xml:space="preserve">The stated event date is</w:t>
      </w:r>
      <w:r>
        <w:t xml:space="preserve"> </w:t>
      </w:r>
      <w:r>
        <w:rPr>
          <w:b/>
          <w:bCs/>
        </w:rPr>
        <w:t xml:space="preserve">Wednesday, July 29, 2026</w:t>
      </w:r>
      <w:r>
        <w:t xml:space="preserve">—which is</w:t>
      </w:r>
      <w:r>
        <w:t xml:space="preserve"> </w:t>
      </w:r>
      <w:r>
        <w:rPr>
          <w:b/>
          <w:bCs/>
        </w:rPr>
        <w:t xml:space="preserve">today</w:t>
      </w:r>
      <w:r>
        <w:t xml:space="preserve">, not tomorrow. This preview assumes results and the 2026 Q2 earnings call have not yet occurred.</w:t>
      </w:r>
    </w:p>
    <w:bookmarkStart w:id="9" w:name="investment-framing"/>
    <w:p>
      <w:pPr>
        <w:pStyle w:val="Heading2"/>
      </w:pPr>
      <w:r>
        <w:t xml:space="preserve">Investment framing</w:t>
      </w:r>
    </w:p>
    <w:p>
      <w:pPr>
        <w:pStyle w:val="FirstParagraph"/>
      </w:pPr>
      <w:r>
        <w:t xml:space="preserve">American Water Works (NYSE: AWK) enters Q2 with its core regulated-water growth algorithm intact: invest heavily in rate base, recover that investment through rate cases and infrastructure riders, and supplement organic growth with acquisitions. The near-term debate is less about demand and more about</w:t>
      </w:r>
      <w:r>
        <w:t xml:space="preserve"> </w:t>
      </w:r>
      <w:r>
        <w:rPr>
          <w:b/>
          <w:bCs/>
        </w:rPr>
        <w:t xml:space="preserve">regulatory realization, financing execution, and the path to the back-half earnings ramp</w:t>
      </w:r>
      <w:r>
        <w:t xml:space="preserve">.</w:t>
      </w:r>
    </w:p>
    <w:p>
      <w:pPr>
        <w:pStyle w:val="BodyText"/>
      </w:pPr>
      <w:r>
        <w:t xml:space="preserve">Management reaffirmed 2026 adjusted EPS guidance of</w:t>
      </w:r>
      <w:r>
        <w:t xml:space="preserve"> </w:t>
      </w:r>
      <m:oMath>
        <m:r>
          <m:t>6.02</m:t>
        </m:r>
        <m:r>
          <m:rPr>
            <m:sty m:val="p"/>
          </m:rPr>
          <m:t>–</m:t>
        </m:r>
      </m:oMath>
      <w:r>
        <w:rPr>
          <w:b/>
          <w:bCs/>
        </w:rPr>
        <w:t xml:space="preserve">6.12</w:t>
      </w:r>
      <w:r>
        <w:t xml:space="preserve"> </w:t>
      </w:r>
      <w:r>
        <w:t xml:space="preserve">after Q1 and specifically indicated that the majority of annual EPS growth should arrive in the second half, when key rate increases—especially Pennsylvania and New Jersey—are expected to contribute. Therefore, a routine Q2 result alone may not be enough: investors will likely focus on whether the company preserves confidence in its full-year guide and offers detail on the timing and quality of regulatory outcomes.</w:t>
      </w:r>
    </w:p>
    <w:bookmarkEnd w:id="9"/>
    <w:bookmarkStart w:id="16" w:name="what-matters-most-going-into-the-print"/>
    <w:p>
      <w:pPr>
        <w:pStyle w:val="Heading2"/>
      </w:pPr>
      <w:r>
        <w:t xml:space="preserve">What matters most going into the print</w:t>
      </w:r>
    </w:p>
    <w:bookmarkStart w:id="10" w:name="Xb1ea93f37a79143cfcf182da0ed324ab73adc1f"/>
    <w:p>
      <w:pPr>
        <w:pStyle w:val="Heading3"/>
      </w:pPr>
      <w:r>
        <w:t xml:space="preserve">1. Guidance: reaffirmation is the key headline</w:t>
      </w:r>
    </w:p>
    <w:p>
      <w:pPr>
        <w:pStyle w:val="FirstParagraph"/>
      </w:pPr>
      <w:r>
        <w:t xml:space="preserve">AWK guided to</w:t>
      </w:r>
      <w:r>
        <w:t xml:space="preserve"> </w:t>
      </w:r>
      <m:oMath>
        <m:r>
          <m:t>6.02</m:t>
        </m:r>
        <m:r>
          <m:rPr>
            <m:sty m:val="p"/>
          </m:rPr>
          <m:t>–</m:t>
        </m:r>
      </m:oMath>
      <w:r>
        <w:rPr>
          <w:b/>
          <w:bCs/>
        </w:rPr>
        <w:t xml:space="preserve">6.12</w:t>
      </w:r>
      <w:r>
        <w:t xml:space="preserve"> </w:t>
      </w:r>
      <w:r>
        <w:t xml:space="preserve">in adjusted 2026 EPS, representing management’s targeted ~8% growth rate on its normalized base. Q1 adjusted EPS was</w:t>
      </w:r>
      <w:r>
        <w:t xml:space="preserve"> </w:t>
      </w:r>
      <w:r>
        <w:rPr>
          <w:b/>
          <w:bCs/>
        </w:rPr>
        <w:t xml:space="preserve">$1.01</w:t>
      </w:r>
      <w:r>
        <w:t xml:space="preserve">, essentially flat year over year on an adjusted basis, as rate-driven revenue growth was offset by higher operating, depreciation, and interest costs.</w:t>
      </w:r>
    </w:p>
    <w:p>
      <w:pPr>
        <w:pStyle w:val="BodyText"/>
      </w:pPr>
      <w:r>
        <w:t xml:space="preserve">A maintained full-year outlook would reinforce management’s thesis that Q1 was simply the low-growth part of the annual cadence and that second-half rate implementation drives the earnings step-up. Conversely, any guide reduction would likely be interpreted as evidence that rate-case timing, cost pressures, financing, weather, or acquisition execution is failing to offset the loss of prior Homeowner Services (“HOS”) note interest income.</w:t>
      </w:r>
    </w:p>
    <w:p>
      <w:pPr>
        <w:pStyle w:val="BodyText"/>
      </w:pPr>
      <w:r>
        <w:rPr>
          <w:b/>
          <w:bCs/>
        </w:rPr>
        <w:t xml:space="preserve">Investor read-through:</w:t>
      </w:r>
      <w:r>
        <w:t xml:space="preserve"> </w:t>
      </w:r>
      <w:r>
        <w:t xml:space="preserve">Focus on the bridge from first-half results to the</w:t>
      </w:r>
      <w:r>
        <w:t xml:space="preserve"> </w:t>
      </w:r>
      <m:oMath>
        <m:r>
          <m:t>6.02</m:t>
        </m:r>
        <m:r>
          <m:rPr>
            <m:sty m:val="p"/>
          </m:rPr>
          <m:t>–</m:t>
        </m:r>
      </m:oMath>
      <w:r>
        <w:t xml:space="preserve">6.12 range—not merely on whether Q2 EPS beats a consensus number.</w:t>
      </w:r>
    </w:p>
    <w:p>
      <w:r>
        <w:pict>
          <v:rect style="width:0;height:1.5pt" o:hralign="center" o:hrstd="t" o:hr="t"/>
        </w:pict>
      </w:r>
    </w:p>
    <w:bookmarkEnd w:id="10"/>
    <w:bookmarkStart w:id="11" w:name="X0673550eff7869d0a1e50fdb4d9a491ee262c5d"/>
    <w:p>
      <w:pPr>
        <w:pStyle w:val="Heading3"/>
      </w:pPr>
      <w:r>
        <w:t xml:space="preserve">2. Pennsylvania is now a positive catalyst—but the outcome was materially below the request</w:t>
      </w:r>
    </w:p>
    <w:p>
      <w:pPr>
        <w:pStyle w:val="FirstParagraph"/>
      </w:pPr>
      <w:r>
        <w:t xml:space="preserve">The Pennsylvania PUC approved an approximately</w:t>
      </w:r>
      <w:r>
        <w:t xml:space="preserve"> </w:t>
      </w:r>
      <w:r>
        <w:rPr>
          <w:b/>
          <w:bCs/>
        </w:rPr>
        <w:t xml:space="preserve">$74.9 million annual revenue increase</w:t>
      </w:r>
      <w:r>
        <w:t xml:space="preserve"> </w:t>
      </w:r>
      <w:r>
        <w:t xml:space="preserve">on July 16. This supports investment in aging infrastructure, PFAS treatment, and lead-service-line replacement.</w:t>
      </w:r>
    </w:p>
    <w:p>
      <w:pPr>
        <w:pStyle w:val="BodyText"/>
      </w:pPr>
      <w:r>
        <w:t xml:space="preserve">That is a meaningful regulatory win and establishes new rates expected to benefit the back half. However, AWK had originally requested approximately</w:t>
      </w:r>
      <w:r>
        <w:t xml:space="preserve"> </w:t>
      </w:r>
      <w:r>
        <w:rPr>
          <w:b/>
          <w:bCs/>
        </w:rPr>
        <w:t xml:space="preserve">$169 million</w:t>
      </w:r>
      <w:r>
        <w:t xml:space="preserve"> </w:t>
      </w:r>
      <w:r>
        <w:t xml:space="preserve">of annualized incremental revenue, excluding projected infrastructure surcharges. The final approved increase is therefore notably below the filed request.</w:t>
      </w:r>
    </w:p>
    <w:p>
      <w:pPr>
        <w:pStyle w:val="BodyText"/>
      </w:pPr>
      <w:r>
        <w:t xml:space="preserve">The Q2 call should clarify:</w:t>
      </w:r>
    </w:p>
    <w:p>
      <w:pPr>
        <w:pStyle w:val="Compact"/>
        <w:numPr>
          <w:ilvl w:val="0"/>
          <w:numId w:val="1001"/>
        </w:numPr>
      </w:pPr>
      <w:r>
        <w:t xml:space="preserve">The authorized return and capital-structure details;</w:t>
      </w:r>
    </w:p>
    <w:p>
      <w:pPr>
        <w:pStyle w:val="Compact"/>
        <w:numPr>
          <w:ilvl w:val="0"/>
          <w:numId w:val="1001"/>
        </w:numPr>
      </w:pPr>
      <w:r>
        <w:t xml:space="preserve">The effective date and exact earnings contribution expected in 2026;</w:t>
      </w:r>
    </w:p>
    <w:p>
      <w:pPr>
        <w:pStyle w:val="Compact"/>
        <w:numPr>
          <w:ilvl w:val="0"/>
          <w:numId w:val="1001"/>
        </w:numPr>
      </w:pPr>
      <w:r>
        <w:t xml:space="preserve">Whether the outcome changes the company’s assumptions embedded in its full-year plan;</w:t>
      </w:r>
    </w:p>
    <w:p>
      <w:pPr>
        <w:pStyle w:val="Compact"/>
        <w:numPr>
          <w:ilvl w:val="0"/>
          <w:numId w:val="1001"/>
        </w:numPr>
      </w:pPr>
      <w:r>
        <w:t xml:space="preserve">The implications for future Pennsylvania regulatory strategy amid heightened customer-affordability scrutiny.</w:t>
      </w:r>
    </w:p>
    <w:p>
      <w:pPr>
        <w:pStyle w:val="FirstParagraph"/>
      </w:pPr>
      <w:r>
        <w:rPr>
          <w:b/>
          <w:bCs/>
        </w:rPr>
        <w:t xml:space="preserve">Bottom line:</w:t>
      </w:r>
      <w:r>
        <w:t xml:space="preserve"> </w:t>
      </w:r>
      <w:r>
        <w:t xml:space="preserve">Pennsylvania removes a major uncertainty, but investors should distinguish between a constructive approval and a full recovery of the company’s requested economics.</w:t>
      </w:r>
    </w:p>
    <w:p>
      <w:r>
        <w:pict>
          <v:rect style="width:0;height:1.5pt" o:hralign="center" o:hrstd="t" o:hr="t"/>
        </w:pict>
      </w:r>
    </w:p>
    <w:bookmarkEnd w:id="11"/>
    <w:bookmarkStart w:id="12" w:name="Xeb323b7cc9d2d14275fb9a3a0addc6677652601"/>
    <w:p>
      <w:pPr>
        <w:pStyle w:val="Heading3"/>
      </w:pPr>
      <w:r>
        <w:t xml:space="preserve">3. New Jersey is the next major swing factor</w:t>
      </w:r>
    </w:p>
    <w:p>
      <w:pPr>
        <w:pStyle w:val="FirstParagraph"/>
      </w:pPr>
      <w:r>
        <w:t xml:space="preserve">New Jersey remains a central 2026 earnings lever. AWK’s updated request seeks approximately</w:t>
      </w:r>
      <w:r>
        <w:t xml:space="preserve"> </w:t>
      </w:r>
      <w:r>
        <w:rPr>
          <w:b/>
          <w:bCs/>
        </w:rPr>
        <w:t xml:space="preserve">$139 million</w:t>
      </w:r>
      <w:r>
        <w:t xml:space="preserve"> </w:t>
      </w:r>
      <w:r>
        <w:t xml:space="preserve">in annualized incremental revenue, reduced from the original $146 million following the removal of Corporate Alternative Minimum Tax impacts from rate base.</w:t>
      </w:r>
    </w:p>
    <w:p>
      <w:pPr>
        <w:pStyle w:val="BodyText"/>
      </w:pPr>
      <w:r>
        <w:t xml:space="preserve">Management previously expected new New Jersey rates to take effect later in the fall. A favorable update on the procedural timetable, settlement prospects, allowed return, and potential effective date would support the company’s stated second-half weighting.</w:t>
      </w:r>
    </w:p>
    <w:p>
      <w:pPr>
        <w:pStyle w:val="BodyText"/>
      </w:pPr>
      <w:r>
        <w:rPr>
          <w:b/>
          <w:bCs/>
        </w:rPr>
        <w:t xml:space="preserve">What investors want to hear:</w:t>
      </w:r>
      <w:r>
        <w:t xml:space="preserve"> </w:t>
      </w:r>
      <w:r>
        <w:t xml:space="preserve">that the New Jersey case remains on schedule and that the regulatory outcome needed to support 2026 guidance remains achievable.</w:t>
      </w:r>
    </w:p>
    <w:p>
      <w:r>
        <w:pict>
          <v:rect style="width:0;height:1.5pt" o:hralign="center" o:hrstd="t" o:hr="t"/>
        </w:pict>
      </w:r>
    </w:p>
    <w:bookmarkEnd w:id="12"/>
    <w:bookmarkStart w:id="13" w:name="X0717c92bf42110e9c2a76f507db15135711f95e"/>
    <w:p>
      <w:pPr>
        <w:pStyle w:val="Heading3"/>
      </w:pPr>
      <w:r>
        <w:t xml:space="preserve">4. Capital spending must remain on plan—and cost inflation must stay controlled</w:t>
      </w:r>
    </w:p>
    <w:p>
      <w:pPr>
        <w:pStyle w:val="FirstParagraph"/>
      </w:pPr>
      <w:r>
        <w:t xml:space="preserve">AWK plans to invest approximately</w:t>
      </w:r>
      <w:r>
        <w:t xml:space="preserve"> </w:t>
      </w:r>
      <m:oMath>
        <m:r>
          <m:t>3.7</m:t>
        </m:r>
        <m:r>
          <m:t>b</m:t>
        </m:r>
        <m:r>
          <m:t>i</m:t>
        </m:r>
        <m:r>
          <m:t>l</m:t>
        </m:r>
        <m:r>
          <m:t>l</m:t>
        </m:r>
        <m:r>
          <m:t>i</m:t>
        </m:r>
        <m:r>
          <m:t>o</m:t>
        </m:r>
        <m:r>
          <m:t>n</m:t>
        </m:r>
        <m:r>
          <m:rPr>
            <m:sty m:val="p"/>
          </m:rPr>
          <m:t>*</m:t>
        </m:r>
        <m:r>
          <m:rPr>
            <m:sty m:val="p"/>
          </m:rPr>
          <m:t>*</m:t>
        </m:r>
        <m:r>
          <m:t>i</m:t>
        </m:r>
        <m:r>
          <m:t>n</m:t>
        </m:r>
        <m:r>
          <m:t>2026</m:t>
        </m:r>
        <m:r>
          <m:rPr>
            <m:sty m:val="p"/>
          </m:rPr>
          <m:t>,</m:t>
        </m:r>
        <m:r>
          <m:t>i</m:t>
        </m:r>
        <m:r>
          <m:t>n</m:t>
        </m:r>
        <m:r>
          <m:t>c</m:t>
        </m:r>
        <m:r>
          <m:t>l</m:t>
        </m:r>
        <m:r>
          <m:t>u</m:t>
        </m:r>
        <m:r>
          <m:t>d</m:t>
        </m:r>
        <m:r>
          <m:t>i</m:t>
        </m:r>
        <m:r>
          <m:t>n</m:t>
        </m:r>
        <m:r>
          <m:t>g</m:t>
        </m:r>
        <m:r>
          <m:t>a</m:t>
        </m:r>
        <m:r>
          <m:t>c</m:t>
        </m:r>
        <m:r>
          <m:t>q</m:t>
        </m:r>
        <m:r>
          <m:t>u</m:t>
        </m:r>
        <m:r>
          <m:t>i</m:t>
        </m:r>
        <m:r>
          <m:t>s</m:t>
        </m:r>
        <m:r>
          <m:t>i</m:t>
        </m:r>
        <m:r>
          <m:t>t</m:t>
        </m:r>
        <m:r>
          <m:t>i</m:t>
        </m:r>
        <m:r>
          <m:t>o</m:t>
        </m:r>
        <m:r>
          <m:t>n</m:t>
        </m:r>
        <m:r>
          <m:t>s</m:t>
        </m:r>
        <m:r>
          <m:rPr>
            <m:sty m:val="p"/>
          </m:rPr>
          <m:t>.</m:t>
        </m:r>
        <m:r>
          <m:t>I</m:t>
        </m:r>
        <m:r>
          <m:t>t</m:t>
        </m:r>
        <m:r>
          <m:t>i</m:t>
        </m:r>
        <m:r>
          <m:t>n</m:t>
        </m:r>
        <m:r>
          <m:t>v</m:t>
        </m:r>
        <m:r>
          <m:t>e</m:t>
        </m:r>
        <m:r>
          <m:t>s</m:t>
        </m:r>
        <m:r>
          <m:t>t</m:t>
        </m:r>
        <m:r>
          <m:t>e</m:t>
        </m:r>
        <m:r>
          <m:t>d</m:t>
        </m:r>
        <m:r>
          <m:rPr>
            <m:sty m:val="p"/>
          </m:rPr>
          <m:t>*</m:t>
        </m:r>
        <m:r>
          <m:rPr>
            <m:sty m:val="p"/>
          </m:rPr>
          <m:t>*</m:t>
        </m:r>
      </m:oMath>
      <w:r>
        <w:rPr>
          <w:b/>
          <w:bCs/>
        </w:rPr>
        <w:t xml:space="preserve">652 million</w:t>
      </w:r>
      <w:r>
        <w:t xml:space="preserve"> </w:t>
      </w:r>
      <w:r>
        <w:t xml:space="preserve">in Q1, including roughly $632 million of infrastructure capital spending and $20 million of acquisitions.</w:t>
      </w:r>
    </w:p>
    <w:p>
      <w:pPr>
        <w:pStyle w:val="BodyText"/>
      </w:pPr>
      <w:r>
        <w:t xml:space="preserve">This capital program is the foundation of future rate-base and earnings growth, but it is also the reason depreciation and financing costs are rising. In Q1: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versus Q1 2025</w:t>
            </w:r>
          </w:p>
        </w:tc>
        <w:tc>
          <w:tcPr/>
          <w:p>
            <w:pPr>
              <w:pStyle w:val="Compact"/>
              <w:jc w:val="right"/>
            </w:pPr>
            <w:r>
              <w:t xml:space="preserve">Change</w:t>
            </w:r>
          </w:p>
        </w:tc>
      </w:tr>
      <w:tr>
        <w:tc>
          <w:tcPr/>
          <w:p>
            <w:pPr>
              <w:pStyle w:val="Compact"/>
            </w:pPr>
            <w:r>
              <w:t xml:space="preserve">Operating revenue</w:t>
            </w:r>
          </w:p>
        </w:tc>
        <w:tc>
          <w:tcPr/>
          <w:p>
            <w:pPr>
              <w:pStyle w:val="Compact"/>
              <w:jc w:val="right"/>
            </w:pPr>
            <w:r>
              <w:rPr>
                <w:b/>
                <w:bCs/>
              </w:rPr>
              <w:t xml:space="preserve">+$62M</w:t>
            </w:r>
          </w:p>
        </w:tc>
      </w:tr>
      <w:tr>
        <w:tc>
          <w:tcPr/>
          <w:p>
            <w:pPr>
              <w:pStyle w:val="Compact"/>
            </w:pPr>
            <w:r>
              <w:t xml:space="preserve">O&amp;M expense</w:t>
            </w:r>
          </w:p>
        </w:tc>
        <w:tc>
          <w:tcPr/>
          <w:p>
            <w:pPr>
              <w:pStyle w:val="Compact"/>
              <w:jc w:val="right"/>
            </w:pPr>
            <w:r>
              <w:rPr>
                <w:b/>
                <w:bCs/>
              </w:rPr>
              <w:t xml:space="preserve">+$25M</w:t>
            </w:r>
          </w:p>
        </w:tc>
      </w:tr>
      <w:tr>
        <w:tc>
          <w:tcPr/>
          <w:p>
            <w:pPr>
              <w:pStyle w:val="Compact"/>
            </w:pPr>
            <w:r>
              <w:t xml:space="preserve">Depreciation &amp; amortization</w:t>
            </w:r>
          </w:p>
        </w:tc>
        <w:tc>
          <w:tcPr/>
          <w:p>
            <w:pPr>
              <w:pStyle w:val="Compact"/>
              <w:jc w:val="right"/>
            </w:pPr>
            <w:r>
              <w:rPr>
                <w:b/>
                <w:bCs/>
              </w:rPr>
              <w:t xml:space="preserve">+$21M</w:t>
            </w:r>
          </w:p>
        </w:tc>
      </w:tr>
      <w:tr>
        <w:tc>
          <w:tcPr/>
          <w:p>
            <w:pPr>
              <w:pStyle w:val="Compact"/>
            </w:pPr>
            <w:r>
              <w:t xml:space="preserve">Interest expense</w:t>
            </w:r>
          </w:p>
        </w:tc>
        <w:tc>
          <w:tcPr/>
          <w:p>
            <w:pPr>
              <w:pStyle w:val="Compact"/>
              <w:jc w:val="right"/>
            </w:pPr>
            <w:r>
              <w:rPr>
                <w:b/>
                <w:bCs/>
              </w:rPr>
              <w:t xml:space="preserve">+$19M</w:t>
            </w:r>
          </w:p>
        </w:tc>
      </w:tr>
    </w:tbl>
    <w:p>
      <w:pPr>
        <w:pStyle w:val="BodyText"/>
      </w:pPr>
      <w:r>
        <w:t xml:space="preserve">Revenue growth came primarily from authorized rate increases and acquired systems, while higher purchased water, power, chemicals, labor-related costs, technology expense, depreciation, and interest absorbed much of the benefit.</w:t>
      </w:r>
    </w:p>
    <w:p>
      <w:pPr>
        <w:pStyle w:val="BodyText"/>
      </w:pPr>
      <w:r>
        <w:rPr>
          <w:b/>
          <w:bCs/>
        </w:rPr>
        <w:t xml:space="preserve">Q2 watch items:</w:t>
      </w:r>
    </w:p>
    <w:p>
      <w:pPr>
        <w:pStyle w:val="Compact"/>
        <w:numPr>
          <w:ilvl w:val="0"/>
          <w:numId w:val="1002"/>
        </w:numPr>
      </w:pPr>
      <w:r>
        <w:t xml:space="preserve">Pace of capital deployed relative to the $3.7B plan;</w:t>
      </w:r>
    </w:p>
    <w:p>
      <w:pPr>
        <w:pStyle w:val="Compact"/>
        <w:numPr>
          <w:ilvl w:val="0"/>
          <w:numId w:val="1002"/>
        </w:numPr>
      </w:pPr>
      <w:r>
        <w:t xml:space="preserve">Purchased-water, electricity, and chemical costs;</w:t>
      </w:r>
    </w:p>
    <w:p>
      <w:pPr>
        <w:pStyle w:val="Compact"/>
        <w:numPr>
          <w:ilvl w:val="0"/>
          <w:numId w:val="1002"/>
        </w:numPr>
      </w:pPr>
      <w:r>
        <w:t xml:space="preserve">Customer bad-debt and technology expenses;</w:t>
      </w:r>
    </w:p>
    <w:p>
      <w:pPr>
        <w:pStyle w:val="Compact"/>
        <w:numPr>
          <w:ilvl w:val="0"/>
          <w:numId w:val="1002"/>
        </w:numPr>
      </w:pPr>
      <w:r>
        <w:t xml:space="preserve">Whether capital projects are being placed into service on schedule;</w:t>
      </w:r>
    </w:p>
    <w:p>
      <w:pPr>
        <w:pStyle w:val="Compact"/>
        <w:numPr>
          <w:ilvl w:val="0"/>
          <w:numId w:val="1002"/>
        </w:numPr>
      </w:pPr>
      <w:r>
        <w:t xml:space="preserve">O&amp;M discipline as the company ramps infrastructure investment and acquisition integration.</w:t>
      </w:r>
    </w:p>
    <w:p>
      <w:r>
        <w:pict>
          <v:rect style="width:0;height:1.5pt" o:hralign="center" o:hrstd="t" o:hr="t"/>
        </w:pict>
      </w:r>
    </w:p>
    <w:bookmarkEnd w:id="13"/>
    <w:bookmarkStart w:id="14" w:name="X60cba08b0db74a5e218e9b6a5b99589e94b52ce"/>
    <w:p>
      <w:pPr>
        <w:pStyle w:val="Heading3"/>
      </w:pPr>
      <w:r>
        <w:t xml:space="preserve">5. Financing execution is essential—and dilution is a known part of the plan</w:t>
      </w:r>
    </w:p>
    <w:p>
      <w:pPr>
        <w:pStyle w:val="FirstParagraph"/>
      </w:pPr>
      <w:r>
        <w:t xml:space="preserve">AWK’s financing plan is substantial but transparent. The company issued</w:t>
      </w:r>
      <w:r>
        <w:t xml:space="preserve"> </w:t>
      </w:r>
      <m:oMath>
        <m:r>
          <m:t>700</m:t>
        </m:r>
        <m:r>
          <m:t>m</m:t>
        </m:r>
        <m:r>
          <m:t>i</m:t>
        </m:r>
        <m:r>
          <m:t>l</m:t>
        </m:r>
        <m:r>
          <m:t>l</m:t>
        </m:r>
        <m:r>
          <m:t>i</m:t>
        </m:r>
        <m:r>
          <m:t>o</m:t>
        </m:r>
        <m:r>
          <m:t>n</m:t>
        </m:r>
        <m:r>
          <m:t>o</m:t>
        </m:r>
        <m:r>
          <m:t>f</m:t>
        </m:r>
        <m:r>
          <m:t>5.20</m:t>
        </m:r>
      </m:oMath>
      <w:r>
        <w:rPr>
          <w:b/>
          <w:bCs/>
        </w:rPr>
        <w:t xml:space="preserve">1 billion equity forward</w:t>
      </w:r>
      <w:r>
        <w:t xml:space="preserve"> </w:t>
      </w:r>
      <w:r>
        <w:t xml:space="preserve">around midyear; as of Q1, the forward agreements covered approximately</w:t>
      </w:r>
      <w:r>
        <w:t xml:space="preserve"> </w:t>
      </w:r>
      <w:r>
        <w:rPr>
          <w:b/>
          <w:bCs/>
        </w:rPr>
        <w:t xml:space="preserve">8.1 million shares</w:t>
      </w:r>
      <w:r>
        <w:t xml:space="preserve"> </w:t>
      </w:r>
      <w:r>
        <w:t xml:space="preserve">and were expected to generate about</w:t>
      </w:r>
      <w:r>
        <w:t xml:space="preserve"> </w:t>
      </w:r>
      <w:r>
        <w:rPr>
          <w:b/>
          <w:bCs/>
        </w:rPr>
        <w:t xml:space="preserve">$1.13 billion</w:t>
      </w:r>
      <w:r>
        <w:t xml:space="preserve"> </w:t>
      </w:r>
      <w:r>
        <w:t xml:space="preserve">in gross proceeds before offering expenses, subject to forward-price adjustments.</w:t>
      </w:r>
    </w:p>
    <w:p>
      <w:pPr>
        <w:pStyle w:val="BodyText"/>
      </w:pPr>
      <w:r>
        <w:t xml:space="preserve">The company also had a</w:t>
      </w:r>
      <w:r>
        <w:t xml:space="preserve"> </w:t>
      </w:r>
      <w:r>
        <w:rPr>
          <w:b/>
          <w:bCs/>
        </w:rPr>
        <w:t xml:space="preserve">$1.035 billion</w:t>
      </w:r>
      <w:r>
        <w:t xml:space="preserve"> </w:t>
      </w:r>
      <w:r>
        <w:t xml:space="preserve">exchangeable-note maturity in June 2026, alongside ongoing debt needs to fund capital spending and acquisitions.</w:t>
      </w:r>
    </w:p>
    <w:p>
      <w:pPr>
        <w:pStyle w:val="BodyText"/>
      </w:pPr>
      <w:r>
        <w:t xml:space="preserve">Investors should look for an update on:</w:t>
      </w:r>
    </w:p>
    <w:p>
      <w:pPr>
        <w:pStyle w:val="Compact"/>
        <w:numPr>
          <w:ilvl w:val="0"/>
          <w:numId w:val="1003"/>
        </w:numPr>
      </w:pPr>
      <w:r>
        <w:t xml:space="preserve">Whether the equity forward has been physically settled;</w:t>
      </w:r>
    </w:p>
    <w:p>
      <w:pPr>
        <w:pStyle w:val="Compact"/>
        <w:numPr>
          <w:ilvl w:val="0"/>
          <w:numId w:val="1003"/>
        </w:numPr>
      </w:pPr>
      <w:r>
        <w:t xml:space="preserve">Actual share-count and EPS dilution implications;</w:t>
      </w:r>
    </w:p>
    <w:p>
      <w:pPr>
        <w:pStyle w:val="Compact"/>
        <w:numPr>
          <w:ilvl w:val="0"/>
          <w:numId w:val="1003"/>
        </w:numPr>
      </w:pPr>
      <w:r>
        <w:t xml:space="preserve">Refinancing and liquidity following the June note maturity;</w:t>
      </w:r>
    </w:p>
    <w:p>
      <w:pPr>
        <w:pStyle w:val="Compact"/>
        <w:numPr>
          <w:ilvl w:val="0"/>
          <w:numId w:val="1003"/>
        </w:numPr>
      </w:pPr>
      <w:r>
        <w:t xml:space="preserve">Expected debt issuance in Q3/early Q4;</w:t>
      </w:r>
    </w:p>
    <w:p>
      <w:pPr>
        <w:pStyle w:val="Compact"/>
        <w:numPr>
          <w:ilvl w:val="0"/>
          <w:numId w:val="1003"/>
        </w:numPr>
      </w:pPr>
      <w:r>
        <w:t xml:space="preserve">The effect of financing costs on 2026 and 2027 earnings.</w:t>
      </w:r>
    </w:p>
    <w:p>
      <w:pPr>
        <w:pStyle w:val="FirstParagraph"/>
      </w:pPr>
      <w:r>
        <w:t xml:space="preserve">At Q1, AWK reported a</w:t>
      </w:r>
      <w:r>
        <w:t xml:space="preserve"> </w:t>
      </w:r>
      <w:r>
        <w:rPr>
          <w:b/>
          <w:bCs/>
        </w:rPr>
        <w:t xml:space="preserve">58% debt-to-capital ratio</w:t>
      </w:r>
      <w:r>
        <w:t xml:space="preserve"> </w:t>
      </w:r>
      <w:r>
        <w:t xml:space="preserve">and approximately</w:t>
      </w:r>
      <w:r>
        <w:t xml:space="preserve"> </w:t>
      </w:r>
      <w:r>
        <w:rPr>
          <w:b/>
          <w:bCs/>
        </w:rPr>
        <w:t xml:space="preserve">$1.44 billion</w:t>
      </w:r>
      <w:r>
        <w:t xml:space="preserve"> </w:t>
      </w:r>
      <w:r>
        <w:t xml:space="preserve">of total available liquidity. The capital structure remains investment-grade, but the market will want confirmation that growth financing remains orderly and affordable.</w:t>
      </w:r>
    </w:p>
    <w:p>
      <w:r>
        <w:pict>
          <v:rect style="width:0;height:1.5pt" o:hralign="center" o:hrstd="t" o:hr="t"/>
        </w:pict>
      </w:r>
    </w:p>
    <w:bookmarkEnd w:id="14"/>
    <w:bookmarkStart w:id="15" w:name="X01acbbdd4ed8cfc35d883c55510278bf0eb2b8d"/>
    <w:p>
      <w:pPr>
        <w:pStyle w:val="Heading3"/>
      </w:pPr>
      <w:r>
        <w:t xml:space="preserve">6. Acquisitions: Nexus timing and pipeline are important for 2027+ growth</w:t>
      </w:r>
    </w:p>
    <w:p>
      <w:pPr>
        <w:pStyle w:val="FirstParagraph"/>
      </w:pPr>
      <w:r>
        <w:t xml:space="preserve">At the end of Q1, AWK had approximately</w:t>
      </w:r>
      <w:r>
        <w:t xml:space="preserve"> </w:t>
      </w:r>
      <w:r>
        <w:rPr>
          <w:b/>
          <w:bCs/>
        </w:rPr>
        <w:t xml:space="preserve">105,000 customer connections</w:t>
      </w:r>
      <w:r>
        <w:t xml:space="preserve"> </w:t>
      </w:r>
      <w:r>
        <w:t xml:space="preserve">under agreement from acquisitions totaling roughly</w:t>
      </w:r>
      <w:r>
        <w:t xml:space="preserve"> </w:t>
      </w:r>
      <w:r>
        <w:rPr>
          <w:b/>
          <w:bCs/>
        </w:rPr>
        <w:t xml:space="preserve">$565 million</w:t>
      </w:r>
      <w:r>
        <w:t xml:space="preserve">. The major Nexus Water Group transaction was expected to add nearly</w:t>
      </w:r>
      <w:r>
        <w:t xml:space="preserve"> </w:t>
      </w:r>
      <w:r>
        <w:rPr>
          <w:b/>
          <w:bCs/>
        </w:rPr>
        <w:t xml:space="preserve">47,000 customer connections</w:t>
      </w:r>
      <w:r>
        <w:t xml:space="preserve"> </w:t>
      </w:r>
      <w:r>
        <w:t xml:space="preserve">across eight states, with expected closing by June 30 after approvals had been secured in seven of eight required jurisdictions.</w:t>
      </w:r>
    </w:p>
    <w:p>
      <w:pPr>
        <w:pStyle w:val="BodyText"/>
      </w:pPr>
      <w:r>
        <w:t xml:space="preserve">The Q2 report should answer whether Nexus closed on time, at the anticipated purchase price and rate base, and with no change to the capital or financing plan. This is more relevant to medium-term rate-base growth than to a large immediate Q2 earnings contribution, but it is important to AWK’s stated goal of approximately 2% annual customer growth through acquisitions.</w:t>
      </w:r>
    </w:p>
    <w:p>
      <w:r>
        <w:pict>
          <v:rect style="width:0;height:1.5pt" o:hralign="center" o:hrstd="t" o:hr="t"/>
        </w:pict>
      </w:r>
    </w:p>
    <w:bookmarkEnd w:id="15"/>
    <w:bookmarkEnd w:id="16"/>
    <w:bookmarkStart w:id="17" w:name="X4b8e6dee69e25f21b134802d75db9b2457f91ba"/>
    <w:p>
      <w:pPr>
        <w:pStyle w:val="Heading2"/>
      </w:pPr>
      <w:r>
        <w:t xml:space="preserve">Q2 comparables: do not over-read the year-over-year EPS comparison</w:t>
      </w:r>
    </w:p>
    <w:p>
      <w:pPr>
        <w:pStyle w:val="FirstParagraph"/>
      </w:pPr>
      <w:r>
        <w:t xml:space="preserve">In Q2 2025, AWK reported</w:t>
      </w:r>
      <w:r>
        <w:t xml:space="preserve"> </w:t>
      </w:r>
      <w:r>
        <w:rPr>
          <w:b/>
          <w:bCs/>
        </w:rPr>
        <w:t xml:space="preserve">$1.48 EPS</w:t>
      </w:r>
      <w:r>
        <w:t xml:space="preserve">, up from</w:t>
      </w:r>
      <w:r>
        <w:t xml:space="preserve"> </w:t>
      </w:r>
      <m:oMath>
        <m:r>
          <m:t>1.42</m:t>
        </m:r>
        <m:r>
          <m:t>i</m:t>
        </m:r>
        <m:r>
          <m:t>n</m:t>
        </m:r>
        <m:r>
          <m:t>Q</m:t>
        </m:r>
        <m:r>
          <m:t>2</m:t>
        </m:r>
        <m:r>
          <m:t>2024</m:t>
        </m:r>
        <m:r>
          <m:rPr>
            <m:sty m:val="p"/>
          </m:rPr>
          <m:t>.</m:t>
        </m:r>
        <m:r>
          <m:t>T</m:t>
        </m:r>
        <m:r>
          <m:t>h</m:t>
        </m:r>
        <m:r>
          <m:t>a</m:t>
        </m:r>
        <m:r>
          <m:t>t</m:t>
        </m:r>
        <m:r>
          <m:t>q</m:t>
        </m:r>
        <m:r>
          <m:t>u</m:t>
        </m:r>
        <m:r>
          <m:t>a</m:t>
        </m:r>
        <m:r>
          <m:t>r</m:t>
        </m:r>
        <m:r>
          <m:t>t</m:t>
        </m:r>
        <m:r>
          <m:t>e</m:t>
        </m:r>
        <m:r>
          <m:t>r</m:t>
        </m:r>
        <m:r>
          <m:t>i</m:t>
        </m:r>
        <m:r>
          <m:t>n</m:t>
        </m:r>
        <m:r>
          <m:t>c</m:t>
        </m:r>
        <m:r>
          <m:t>l</m:t>
        </m:r>
        <m:r>
          <m:t>u</m:t>
        </m:r>
        <m:r>
          <m:t>d</m:t>
        </m:r>
        <m:r>
          <m:t>e</m:t>
        </m:r>
        <m:r>
          <m:t>d</m:t>
        </m:r>
        <m:r>
          <m:t>a</m:t>
        </m:r>
        <m:r>
          <m:t>n</m:t>
        </m:r>
        <m:r>
          <m:t>e</m:t>
        </m:r>
        <m:r>
          <m:t>s</m:t>
        </m:r>
        <m:r>
          <m:t>t</m:t>
        </m:r>
        <m:r>
          <m:t>i</m:t>
        </m:r>
        <m:r>
          <m:t>m</m:t>
        </m:r>
        <m:r>
          <m:t>a</m:t>
        </m:r>
        <m:r>
          <m:t>t</m:t>
        </m:r>
        <m:r>
          <m:t>e</m:t>
        </m:r>
        <m:r>
          <m:t>d</m:t>
        </m:r>
        <m:r>
          <m:rPr>
            <m:sty m:val="p"/>
          </m:rPr>
          <m:t>*</m:t>
        </m:r>
        <m:r>
          <m:rPr>
            <m:sty m:val="p"/>
          </m:rPr>
          <m:t>*</m:t>
        </m:r>
      </m:oMath>
      <w:r>
        <w:t xml:space="preserve">0.03 per share weather headwind**, but it also benefited from HOS seller-note interest income that no longer recurs after the note was repaid in February 2026.</w:t>
      </w:r>
    </w:p>
    <w:p>
      <w:pPr>
        <w:pStyle w:val="BodyText"/>
      </w:pPr>
      <w:r>
        <w:t xml:space="preserve">As a result, the clean comparison for Q2 2026 is not simply reported EPS growth versus $1.48. Investors should adjust for:</w:t>
      </w:r>
    </w:p>
    <w:p>
      <w:pPr>
        <w:pStyle w:val="Compact"/>
        <w:numPr>
          <w:ilvl w:val="0"/>
          <w:numId w:val="1004"/>
        </w:numPr>
      </w:pPr>
      <w:r>
        <w:rPr>
          <w:b/>
          <w:bCs/>
        </w:rPr>
        <w:t xml:space="preserve">Lost HOS interest income</w:t>
      </w:r>
      <w:r>
        <w:t xml:space="preserve">;</w:t>
      </w:r>
    </w:p>
    <w:p>
      <w:pPr>
        <w:pStyle w:val="Compact"/>
        <w:numPr>
          <w:ilvl w:val="0"/>
          <w:numId w:val="1004"/>
        </w:numPr>
      </w:pPr>
      <w:r>
        <w:rPr>
          <w:b/>
          <w:bCs/>
        </w:rPr>
        <w:t xml:space="preserve">Weather variability</w:t>
      </w:r>
      <w:r>
        <w:t xml:space="preserve">;</w:t>
      </w:r>
    </w:p>
    <w:p>
      <w:pPr>
        <w:pStyle w:val="Compact"/>
        <w:numPr>
          <w:ilvl w:val="0"/>
          <w:numId w:val="1004"/>
        </w:numPr>
      </w:pPr>
      <w:r>
        <w:rPr>
          <w:b/>
          <w:bCs/>
        </w:rPr>
        <w:t xml:space="preserve">Essential merger-related transaction costs</w:t>
      </w:r>
      <w:r>
        <w:t xml:space="preserve">, which AWK excludes from adjusted EPS guidance;</w:t>
      </w:r>
    </w:p>
    <w:p>
      <w:pPr>
        <w:pStyle w:val="Compact"/>
        <w:numPr>
          <w:ilvl w:val="0"/>
          <w:numId w:val="1004"/>
        </w:numPr>
      </w:pPr>
      <w:r>
        <w:t xml:space="preserve">The timing of new rates and infrastructure-surcharge recovery.</w:t>
      </w:r>
    </w:p>
    <w:p>
      <w:pPr>
        <w:pStyle w:val="FirstParagraph"/>
      </w:pPr>
      <w:r>
        <w:t xml:space="preserve">AWK has made clear that the more meaningful earnings acceleration should be in the</w:t>
      </w:r>
      <w:r>
        <w:t xml:space="preserve"> </w:t>
      </w:r>
      <w:r>
        <w:rPr>
          <w:b/>
          <w:bCs/>
        </w:rPr>
        <w:t xml:space="preserve">second half</w:t>
      </w:r>
      <w:r>
        <w:t xml:space="preserve">, so the quality of commentary around Q3/Q4 is likely more important than a modest Q2 headline variance.</w:t>
      </w:r>
    </w:p>
    <w:p>
      <w:r>
        <w:pict>
          <v:rect style="width:0;height:1.5pt" o:hralign="center" o:hrstd="t" o:hr="t"/>
        </w:pict>
      </w:r>
    </w:p>
    <w:bookmarkEnd w:id="17"/>
    <w:bookmarkStart w:id="18" w:name="other-potential-catalysts"/>
    <w:p>
      <w:pPr>
        <w:pStyle w:val="Heading2"/>
      </w:pPr>
      <w:r>
        <w:t xml:space="preserve">Other potential catalysts</w:t>
      </w:r>
    </w:p>
    <w:p>
      <w:pPr>
        <w:pStyle w:val="Compact"/>
        <w:numPr>
          <w:ilvl w:val="0"/>
          <w:numId w:val="1005"/>
        </w:numPr>
      </w:pPr>
      <w:r>
        <w:rPr>
          <w:b/>
          <w:bCs/>
        </w:rPr>
        <w:t xml:space="preserve">PFAS recovery:</w:t>
      </w:r>
      <w:r>
        <w:t xml:space="preserve"> </w:t>
      </w:r>
      <w:r>
        <w:t xml:space="preserve">AWK had received approximately</w:t>
      </w:r>
      <w:r>
        <w:t xml:space="preserve"> </w:t>
      </w:r>
      <w:r>
        <w:rPr>
          <w:b/>
          <w:bCs/>
        </w:rPr>
        <w:t xml:space="preserve">$185 million</w:t>
      </w:r>
      <w:r>
        <w:t xml:space="preserve">, net of legal and administrative costs, from PFAS manufacturers as of March 31. These proceeds are generally intended to benefit customers or offset remediation costs rather than serve as a direct EPS windfall, but they improve the affordability and regulatory narrative around necessary environmental investment.</w:t>
      </w:r>
    </w:p>
    <w:p>
      <w:pPr>
        <w:pStyle w:val="Compact"/>
        <w:numPr>
          <w:ilvl w:val="0"/>
          <w:numId w:val="1005"/>
        </w:numPr>
      </w:pPr>
      <w:r>
        <w:rPr>
          <w:b/>
          <w:bCs/>
        </w:rPr>
        <w:t xml:space="preserve">CAMT cash benefit:</w:t>
      </w:r>
      <w:r>
        <w:t xml:space="preserve"> </w:t>
      </w:r>
      <w:r>
        <w:t xml:space="preserve">IRS guidance eliminated AWK’s expected CAMT liability position. Management cited an expected refund of roughly</w:t>
      </w:r>
      <w:r>
        <w:t xml:space="preserve"> </w:t>
      </w:r>
      <m:oMath>
        <m:r>
          <m:t>84</m:t>
        </m:r>
        <m:r>
          <m:t>m</m:t>
        </m:r>
        <m:r>
          <m:t>i</m:t>
        </m:r>
        <m:r>
          <m:t>l</m:t>
        </m:r>
        <m:r>
          <m:t>l</m:t>
        </m:r>
        <m:r>
          <m:t>i</m:t>
        </m:r>
        <m:r>
          <m:t>o</m:t>
        </m:r>
        <m:r>
          <m:t>n</m:t>
        </m:r>
        <m:r>
          <m:rPr>
            <m:sty m:val="p"/>
          </m:rPr>
          <m:t>*</m:t>
        </m:r>
        <m:r>
          <m:rPr>
            <m:sty m:val="p"/>
          </m:rPr>
          <m:t>*</m:t>
        </m:r>
        <m:r>
          <m:t>f</m:t>
        </m:r>
        <m:r>
          <m:t>o</m:t>
        </m:r>
        <m:r>
          <m:t>r</m:t>
        </m:r>
        <m:r>
          <m:t>2024</m:t>
        </m:r>
        <m:r>
          <m:t>a</m:t>
        </m:r>
        <m:r>
          <m:t>n</m:t>
        </m:r>
        <m:r>
          <m:t>d</m:t>
        </m:r>
        <m:r>
          <m:t>i</m:t>
        </m:r>
        <m:r>
          <m:t>n</m:t>
        </m:r>
        <m:r>
          <m:t>d</m:t>
        </m:r>
        <m:r>
          <m:t>i</m:t>
        </m:r>
        <m:r>
          <m:t>c</m:t>
        </m:r>
        <m:r>
          <m:t>a</m:t>
        </m:r>
        <m:r>
          <m:t>t</m:t>
        </m:r>
        <m:r>
          <m:t>e</m:t>
        </m:r>
        <m:r>
          <m:t>d</m:t>
        </m:r>
        <m:r>
          <m:t>t</m:t>
        </m:r>
        <m:r>
          <m:t>h</m:t>
        </m:r>
        <m:r>
          <m:t>a</m:t>
        </m:r>
        <m:r>
          <m:t>t</m:t>
        </m:r>
        <m:r>
          <m:t>p</m:t>
        </m:r>
        <m:r>
          <m:t>r</m:t>
        </m:r>
        <m:r>
          <m:t>e</m:t>
        </m:r>
        <m:r>
          <m:t>v</m:t>
        </m:r>
        <m:r>
          <m:t>i</m:t>
        </m:r>
        <m:r>
          <m:t>o</m:t>
        </m:r>
        <m:r>
          <m:t>u</m:t>
        </m:r>
        <m:r>
          <m:t>s</m:t>
        </m:r>
        <m:r>
          <m:t>l</m:t>
        </m:r>
        <m:r>
          <m:t>y</m:t>
        </m:r>
        <m:r>
          <m:t>m</m:t>
        </m:r>
        <m:r>
          <m:t>o</m:t>
        </m:r>
        <m:r>
          <m:t>d</m:t>
        </m:r>
        <m:r>
          <m:t>e</m:t>
        </m:r>
        <m:r>
          <m:t>l</m:t>
        </m:r>
        <m:r>
          <m:t>e</m:t>
        </m:r>
        <m:r>
          <m:t>d</m:t>
        </m:r>
        <m:r>
          <m:t>C</m:t>
        </m:r>
        <m:r>
          <m:t>A</m:t>
        </m:r>
        <m:r>
          <m:t>M</m:t>
        </m:r>
        <m:r>
          <m:t>T</m:t>
        </m:r>
        <m:r>
          <m:t>p</m:t>
        </m:r>
        <m:r>
          <m:t>a</m:t>
        </m:r>
        <m:r>
          <m:t>y</m:t>
        </m:r>
        <m:r>
          <m:t>m</m:t>
        </m:r>
        <m:r>
          <m:t>e</m:t>
        </m:r>
        <m:r>
          <m:t>n</m:t>
        </m:r>
        <m:r>
          <m:t>t</m:t>
        </m:r>
        <m:r>
          <m:t>s</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100 million annually</w:t>
      </w:r>
      <w:r>
        <w:t xml:space="preserve"> </w:t>
      </w:r>
      <w:r>
        <w:t xml:space="preserve">could represent a meaningful cash benefit. The key question is whether this improves financing needs or is redeployed into capital investment.</w:t>
      </w:r>
    </w:p>
    <w:p>
      <w:pPr>
        <w:pStyle w:val="Compact"/>
        <w:numPr>
          <w:ilvl w:val="0"/>
          <w:numId w:val="1005"/>
        </w:numPr>
      </w:pPr>
      <w:r>
        <w:rPr>
          <w:b/>
          <w:bCs/>
        </w:rPr>
        <w:t xml:space="preserve">Dividend support:</w:t>
      </w:r>
      <w:r>
        <w:t xml:space="preserve"> </w:t>
      </w:r>
      <w:r>
        <w:t xml:space="preserve">AWK raised its quarterly dividend</w:t>
      </w:r>
      <w:r>
        <w:t xml:space="preserve"> </w:t>
      </w:r>
      <w:r>
        <w:rPr>
          <w:b/>
          <w:bCs/>
        </w:rPr>
        <w:t xml:space="preserve">8.2%</w:t>
      </w:r>
      <w:r>
        <w:t xml:space="preserve"> </w:t>
      </w:r>
      <w:r>
        <w:t xml:space="preserve">to</w:t>
      </w:r>
      <w:r>
        <w:t xml:space="preserve"> </w:t>
      </w:r>
      <w:r>
        <w:rPr>
          <w:b/>
          <w:bCs/>
        </w:rPr>
        <w:t xml:space="preserve">$0.895 per share</w:t>
      </w:r>
      <w:r>
        <w:t xml:space="preserve"> </w:t>
      </w:r>
      <w:r>
        <w:t xml:space="preserve">in April, consistent with its long-term 7–9% dividend-growth target. The dividend remains a central component of the equity story, though future growth remains tied to earnings, cash flow, and financing access.</w:t>
      </w:r>
    </w:p>
    <w:p>
      <w:r>
        <w:pict>
          <v:rect style="width:0;height:1.5pt" o:hralign="center" o:hrstd="t" o:hr="t"/>
        </w:pict>
      </w:r>
    </w:p>
    <w:bookmarkEnd w:id="18"/>
    <w:bookmarkStart w:id="19" w:name="risks-to-the-setup"/>
    <w:p>
      <w:pPr>
        <w:pStyle w:val="Heading2"/>
      </w:pPr>
      <w:r>
        <w:t xml:space="preserve">Risks to the setup</w:t>
      </w:r>
    </w:p>
    <w:p>
      <w:pPr>
        <w:pStyle w:val="Compact"/>
        <w:numPr>
          <w:ilvl w:val="0"/>
          <w:numId w:val="1006"/>
        </w:numPr>
      </w:pPr>
      <w:r>
        <w:rPr>
          <w:b/>
          <w:bCs/>
        </w:rPr>
        <w:t xml:space="preserve">Rate-case dilution / affordability pressure.</w:t>
      </w:r>
      <w:r>
        <w:t xml:space="preserve"> </w:t>
      </w:r>
      <w:r>
        <w:t xml:space="preserve">Pennsylvania’s final increase was below the requested amount, highlighting the risk that regulators increasingly prioritize customer-bill affordability over full requested returns.</w:t>
      </w:r>
    </w:p>
    <w:p>
      <w:pPr>
        <w:pStyle w:val="Compact"/>
        <w:numPr>
          <w:ilvl w:val="0"/>
          <w:numId w:val="1006"/>
        </w:numPr>
      </w:pPr>
      <w:r>
        <w:rPr>
          <w:b/>
          <w:bCs/>
        </w:rPr>
        <w:t xml:space="preserve">New Jersey timing or settlement risk.</w:t>
      </w:r>
      <w:r>
        <w:t xml:space="preserve"> </w:t>
      </w:r>
      <w:r>
        <w:t xml:space="preserve">A delayed or weaker outcome would pressure the anticipated second-half earnings ramp.</w:t>
      </w:r>
    </w:p>
    <w:p>
      <w:pPr>
        <w:pStyle w:val="Compact"/>
        <w:numPr>
          <w:ilvl w:val="0"/>
          <w:numId w:val="1006"/>
        </w:numPr>
      </w:pPr>
      <w:r>
        <w:rPr>
          <w:b/>
          <w:bCs/>
        </w:rPr>
        <w:t xml:space="preserve">Higher-for-longer financing costs.</w:t>
      </w:r>
      <w:r>
        <w:t xml:space="preserve"> </w:t>
      </w:r>
      <w:r>
        <w:t xml:space="preserve">AWK’s growth model requires external capital; interest expense already rose materially in Q1.</w:t>
      </w:r>
    </w:p>
    <w:p>
      <w:pPr>
        <w:pStyle w:val="Compact"/>
        <w:numPr>
          <w:ilvl w:val="0"/>
          <w:numId w:val="1006"/>
        </w:numPr>
      </w:pPr>
      <w:r>
        <w:rPr>
          <w:b/>
          <w:bCs/>
        </w:rPr>
        <w:t xml:space="preserve">Equity-forward dilution.</w:t>
      </w:r>
      <w:r>
        <w:t xml:space="preserve"> </w:t>
      </w:r>
      <w:r>
        <w:t xml:space="preserve">The equity financing is known and planned, but actual settlement mechanics and timing can affect per-share growth.</w:t>
      </w:r>
    </w:p>
    <w:p>
      <w:pPr>
        <w:pStyle w:val="Compact"/>
        <w:numPr>
          <w:ilvl w:val="0"/>
          <w:numId w:val="1006"/>
        </w:numPr>
      </w:pPr>
      <w:r>
        <w:rPr>
          <w:b/>
          <w:bCs/>
        </w:rPr>
        <w:t xml:space="preserve">Operational cost inflation.</w:t>
      </w:r>
      <w:r>
        <w:t xml:space="preserve"> </w:t>
      </w:r>
      <w:r>
        <w:t xml:space="preserve">Purchased water, power, chemicals, labor, technology, and bad-debt expense can erode the earnings conversion from new revenues.</w:t>
      </w:r>
    </w:p>
    <w:p>
      <w:pPr>
        <w:pStyle w:val="Compact"/>
        <w:numPr>
          <w:ilvl w:val="0"/>
          <w:numId w:val="1006"/>
        </w:numPr>
      </w:pPr>
      <w:r>
        <w:rPr>
          <w:b/>
          <w:bCs/>
        </w:rPr>
        <w:t xml:space="preserve">Weather.</w:t>
      </w:r>
      <w:r>
        <w:t xml:space="preserve"> </w:t>
      </w:r>
      <w:r>
        <w:t xml:space="preserve">Water demand and revenue retain weather sensitivity, even with regulatory mechanisms that can moderate some volume risk.</w:t>
      </w:r>
    </w:p>
    <w:p>
      <w:pPr>
        <w:pStyle w:val="Compact"/>
        <w:numPr>
          <w:ilvl w:val="0"/>
          <w:numId w:val="1006"/>
        </w:numPr>
      </w:pPr>
      <w:r>
        <w:rPr>
          <w:b/>
          <w:bCs/>
        </w:rPr>
        <w:t xml:space="preserve">Essential Utilities merger execution.</w:t>
      </w:r>
      <w:r>
        <w:t xml:space="preserve"> </w:t>
      </w:r>
      <w:r>
        <w:t xml:space="preserve">The proposed merger remains subject to multiple regulatory approvals and antitrust review, with a target closing by the end of Q1 2027. Transaction costs are excluded from adjusted guidance but remain a GAAP and execution consideration.</w:t>
      </w:r>
    </w:p>
    <w:p>
      <w:r>
        <w:pict>
          <v:rect style="width:0;height:1.5pt" o:hralign="center" o:hrstd="t" o:hr="t"/>
        </w:pict>
      </w:r>
    </w:p>
    <w:bookmarkEnd w:id="19"/>
    <w:bookmarkStart w:id="20" w:name="stock-setup"/>
    <w:p>
      <w:pPr>
        <w:pStyle w:val="Heading2"/>
      </w:pPr>
      <w:r>
        <w:t xml:space="preserve">Stock setup</w:t>
      </w:r>
    </w:p>
    <w:p>
      <w:pPr>
        <w:pStyle w:val="FirstParagraph"/>
      </w:pPr>
      <w:r>
        <w:t xml:space="preserve">AWK closed at</w:t>
      </w:r>
      <w:r>
        <w:t xml:space="preserve"> </w:t>
      </w:r>
      <w:r>
        <w:rPr>
          <w:b/>
          <w:bCs/>
        </w:rPr>
        <w:t xml:space="preserve">$138.07 on July 28, 2026</w:t>
      </w:r>
      <w:r>
        <w:t xml:space="preserve">, up about</w:t>
      </w:r>
      <w:r>
        <w:t xml:space="preserve"> </w:t>
      </w:r>
      <w:r>
        <w:rPr>
          <w:b/>
          <w:bCs/>
        </w:rPr>
        <w:t xml:space="preserve">5.8%</w:t>
      </w:r>
      <w:r>
        <w:t xml:space="preserve"> </w:t>
      </w:r>
      <w:r>
        <w:t xml:space="preserve">from its December 31, 2025 close of $130.50. The shares have recovered from a June low near</w:t>
      </w:r>
      <w:r>
        <w:t xml:space="preserve"> </w:t>
      </w:r>
      <m:oMath>
        <m:r>
          <m:t>121</m:t>
        </m:r>
        <m:r>
          <m:t>a</m:t>
        </m:r>
        <m:r>
          <m:t>n</m:t>
        </m:r>
        <m:r>
          <m:t>d</m:t>
        </m:r>
        <m:r>
          <m:t>a</m:t>
        </m:r>
        <m:r>
          <m:t>r</m:t>
        </m:r>
        <m:r>
          <m:t>e</m:t>
        </m:r>
        <m:r>
          <m:t>a</m:t>
        </m:r>
        <m:r>
          <m:t>p</m:t>
        </m:r>
        <m:r>
          <m:t>p</m:t>
        </m:r>
        <m:r>
          <m:t>r</m:t>
        </m:r>
        <m:r>
          <m:t>o</m:t>
        </m:r>
        <m:r>
          <m:t>a</m:t>
        </m:r>
        <m:r>
          <m:t>c</m:t>
        </m:r>
        <m:r>
          <m:t>h</m:t>
        </m:r>
        <m:r>
          <m:t>i</m:t>
        </m:r>
        <m:r>
          <m:t>n</m:t>
        </m:r>
        <m:r>
          <m:t>g</m:t>
        </m:r>
        <m:r>
          <m:t>t</m:t>
        </m:r>
        <m:r>
          <m:t>h</m:t>
        </m:r>
        <m:r>
          <m:t>e</m:t>
        </m:r>
        <m:r>
          <m:t>i</m:t>
        </m:r>
        <m:r>
          <m:t>n</m:t>
        </m:r>
        <m:r>
          <m:t>i</m:t>
        </m:r>
        <m:r>
          <m:t>t</m:t>
        </m:r>
        <m:r>
          <m:t>i</m:t>
        </m:r>
        <m:r>
          <m:t>a</m:t>
        </m:r>
        <m:r>
          <m:t>l</m:t>
        </m:r>
        <m:r>
          <m:rPr>
            <m:sty m:val="p"/>
          </m:rPr>
          <m:t>*</m:t>
        </m:r>
        <m:r>
          <m:rPr>
            <m:sty m:val="p"/>
          </m:rPr>
          <m:t>*</m:t>
        </m:r>
      </m:oMath>
      <w:r>
        <w:t xml:space="preserve">139.657** forward-sale price associated with the 2025 equity financing.</w:t>
      </w:r>
    </w:p>
    <w:p>
      <w:pPr>
        <w:pStyle w:val="BodyText"/>
      </w:pPr>
      <w:r>
        <w:t xml:space="preserve">That recovery suggests the market has already assigned some value to the improving regulatory backdrop. As a result, a simple guide reaffirmation may be adequate but not necessarily sufficient for a strong reaction; upside likely requires confidence in the second-half rate-case ramp, clean financing execution, and confirmation that Pennsylvania’s lower-than-requested award does not impair the 2026 earnings plan.</w:t>
      </w:r>
    </w:p>
    <w:p>
      <w:r>
        <w:pict>
          <v:rect style="width:0;height:1.5pt" o:hralign="center" o:hrstd="t" o:hr="t"/>
        </w:pict>
      </w:r>
    </w:p>
    <w:bookmarkEnd w:id="20"/>
    <w:bookmarkStart w:id="21" w:name="questions-for-management"/>
    <w:p>
      <w:pPr>
        <w:pStyle w:val="Heading2"/>
      </w:pPr>
      <w:r>
        <w:t xml:space="preserve">Questions for management</w:t>
      </w:r>
    </w:p>
    <w:p>
      <w:pPr>
        <w:pStyle w:val="Compact"/>
        <w:numPr>
          <w:ilvl w:val="0"/>
          <w:numId w:val="1007"/>
        </w:numPr>
      </w:pPr>
      <w:r>
        <w:t xml:space="preserve">Does the July 16 Pennsylvania order alter any assumption underlying the</w:t>
      </w:r>
      <w:r>
        <w:t xml:space="preserve"> </w:t>
      </w:r>
      <m:oMath>
        <m:r>
          <m:t>6.02</m:t>
        </m:r>
        <m:r>
          <m:rPr>
            <m:sty m:val="p"/>
          </m:rPr>
          <m:t>–</m:t>
        </m:r>
      </m:oMath>
      <w:r>
        <w:rPr>
          <w:b/>
          <w:bCs/>
        </w:rPr>
        <w:t xml:space="preserve">6.12</w:t>
      </w:r>
      <w:r>
        <w:t xml:space="preserve"> </w:t>
      </w:r>
      <w:r>
        <w:t xml:space="preserve">2026 adjusted EPS range?</w:t>
      </w:r>
    </w:p>
    <w:p>
      <w:pPr>
        <w:pStyle w:val="Compact"/>
        <w:numPr>
          <w:ilvl w:val="0"/>
          <w:numId w:val="1007"/>
        </w:numPr>
      </w:pPr>
      <w:r>
        <w:t xml:space="preserve">What are the authorized ROE, equity ratio, effective date, and 2026 earnings contribution associated with the Pennsylvania decision?</w:t>
      </w:r>
    </w:p>
    <w:p>
      <w:pPr>
        <w:pStyle w:val="Compact"/>
        <w:numPr>
          <w:ilvl w:val="0"/>
          <w:numId w:val="1007"/>
        </w:numPr>
      </w:pPr>
      <w:r>
        <w:t xml:space="preserve">Is the New Jersey rate case still on track for rates later this fall, and what outcome is assumed in 2026 guidance?</w:t>
      </w:r>
    </w:p>
    <w:p>
      <w:pPr>
        <w:pStyle w:val="Compact"/>
        <w:numPr>
          <w:ilvl w:val="0"/>
          <w:numId w:val="1007"/>
        </w:numPr>
      </w:pPr>
      <w:r>
        <w:t xml:space="preserve">Has AWK settled the equity forward? If so, what are the net proceeds and share-count implications?</w:t>
      </w:r>
    </w:p>
    <w:p>
      <w:pPr>
        <w:pStyle w:val="Compact"/>
        <w:numPr>
          <w:ilvl w:val="0"/>
          <w:numId w:val="1007"/>
        </w:numPr>
      </w:pPr>
      <w:r>
        <w:t xml:space="preserve">Did the Nexus acquisition close by June 30, and are purchase price, acquired rate base, and customer connections consistent with prior expectations?</w:t>
      </w:r>
    </w:p>
    <w:p>
      <w:pPr>
        <w:pStyle w:val="Compact"/>
        <w:numPr>
          <w:ilvl w:val="0"/>
          <w:numId w:val="1007"/>
        </w:numPr>
      </w:pPr>
      <w:r>
        <w:t xml:space="preserve">What is the updated 2026 capital-spending outlook, and is there any pressure from construction, chemical, power, labor, or technology costs?</w:t>
      </w:r>
    </w:p>
    <w:p>
      <w:pPr>
        <w:pStyle w:val="Compact"/>
        <w:numPr>
          <w:ilvl w:val="0"/>
          <w:numId w:val="1007"/>
        </w:numPr>
      </w:pPr>
      <w:r>
        <w:t xml:space="preserve">How does the CAMT cash benefit affect equity needs, debt issuance, or the refreshed long-range financing plan?</w:t>
      </w:r>
    </w:p>
    <w:p>
      <w:pPr>
        <w:pStyle w:val="Compact"/>
        <w:numPr>
          <w:ilvl w:val="0"/>
          <w:numId w:val="1007"/>
        </w:numPr>
      </w:pPr>
      <w:r>
        <w:t xml:space="preserve">What are the next milestones and approval risks for the Essential Utilities transaction?</w:t>
      </w:r>
    </w:p>
    <w:p>
      <w:r>
        <w:pict>
          <v:rect style="width:0;height:1.5pt" o:hralign="center" o:hrstd="t" o:hr="t"/>
        </w:pict>
      </w:r>
    </w:p>
    <w:bookmarkEnd w:id="21"/>
    <w:bookmarkStart w:id="23" w:name="preview-conclusion"/>
    <w:p>
      <w:pPr>
        <w:pStyle w:val="Heading2"/>
      </w:pPr>
      <w:r>
        <w:t xml:space="preserve">Preview conclusion</w:t>
      </w:r>
    </w:p>
    <w:p>
      <w:pPr>
        <w:pStyle w:val="FirstParagraph"/>
      </w:pPr>
      <w:r>
        <w:rPr>
          <w:b/>
          <w:bCs/>
        </w:rPr>
        <w:t xml:space="preserve">The central issue is execution, not the basic growth thesis.</w:t>
      </w:r>
      <w:r>
        <w:t xml:space="preserve"> </w:t>
      </w:r>
      <w:r>
        <w:t xml:space="preserve">AWK has a visible capital-investment program, constructive rate mechanisms, a growing acquisition pipeline, and a stated 7–9% long-term EPS and dividend-growth objective. But Q2 comes at an important handoff: the company must demonstrate that regulatory outcomes, capital deployment, and financing plans can turn into the back-half earnings acceleration embedded in its 2026 guidance.</w:t>
      </w:r>
    </w:p>
    <w:p>
      <w:pPr>
        <w:pStyle w:val="BodyText"/>
      </w:pPr>
      <w:r>
        <w:t xml:space="preserve">A constructive report would feature:</w:t>
      </w:r>
      <w:r>
        <w:t xml:space="preserve"> </w:t>
      </w:r>
      <w:r>
        <w:rPr>
          <w:b/>
          <w:bCs/>
        </w:rPr>
        <w:t xml:space="preserve">full-year guidance reaffirmation, confirmation that Pennsylvania is fully incorporated into the plan, an on-schedule New Jersey case, Nexus closing confirmation, disciplined O&amp;M, and clear equity-forward/financing execution.</w:t>
      </w:r>
    </w:p>
    <w:bookmarkStart w:id="22" w:name="sources-reviewed"/>
    <w:p>
      <w:pPr>
        <w:pStyle w:val="Heading3"/>
      </w:pPr>
      <w:r>
        <w:t xml:space="preserve">Sources reviewed</w:t>
      </w:r>
    </w:p>
    <w:p>
      <w:pPr>
        <w:pStyle w:val="Compact"/>
        <w:numPr>
          <w:ilvl w:val="0"/>
          <w:numId w:val="1008"/>
        </w:numPr>
      </w:pPr>
      <w:r>
        <w:t xml:space="preserve">American Water Q1 2026 earnings release and Q1 2026 earnings-call transcript</w:t>
      </w:r>
    </w:p>
    <w:p>
      <w:pPr>
        <w:pStyle w:val="Compact"/>
        <w:numPr>
          <w:ilvl w:val="0"/>
          <w:numId w:val="1008"/>
        </w:numPr>
      </w:pPr>
      <w:r>
        <w:t xml:space="preserve">American Water Q1 2026 Form 10-Q</w:t>
      </w:r>
    </w:p>
    <w:p>
      <w:pPr>
        <w:pStyle w:val="Compact"/>
        <w:numPr>
          <w:ilvl w:val="0"/>
          <w:numId w:val="1008"/>
        </w:numPr>
      </w:pPr>
      <w:r>
        <w:t xml:space="preserve">Pennsylvania American Water July 16, 2026 rate-case announcement</w:t>
      </w:r>
    </w:p>
    <w:p>
      <w:pPr>
        <w:pStyle w:val="Compact"/>
        <w:numPr>
          <w:ilvl w:val="0"/>
          <w:numId w:val="1008"/>
        </w:numPr>
      </w:pPr>
      <w:r>
        <w:t xml:space="preserve">Missouri American Water July 1, 2026 rate filing announcement</w:t>
      </w:r>
    </w:p>
    <w:p>
      <w:pPr>
        <w:pStyle w:val="Compact"/>
        <w:numPr>
          <w:ilvl w:val="0"/>
          <w:numId w:val="1008"/>
        </w:numPr>
      </w:pPr>
      <w:r>
        <w:t xml:space="preserve">American Water Q2 2025 earnings release</w:t>
      </w:r>
    </w:p>
    <w:p>
      <w:pPr>
        <w:pStyle w:val="Compact"/>
        <w:numPr>
          <w:ilvl w:val="0"/>
          <w:numId w:val="1008"/>
        </w:numPr>
      </w:pPr>
      <w:r>
        <w:t xml:space="preserve">AWK historical share-price data through July 28,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2026-07-29T01:50:52Z</dcterms:created>
  <dcterms:modified xsi:type="dcterms:W3CDTF">2026-07-29T01:50:52Z</dcterms:modified>
</cp:coreProperties>
</file>

<file path=docProps/custom.xml><?xml version="1.0" encoding="utf-8"?>
<Properties xmlns="http://schemas.openxmlformats.org/officeDocument/2006/custom-properties" xmlns:vt="http://schemas.openxmlformats.org/officeDocument/2006/docPropsVTypes"/>
</file>