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wk-earnings-predictions--2026-07-29"/>
    <w:p>
      <w:pPr>
        <w:pStyle w:val="Heading1"/>
      </w:pPr>
      <w:r>
        <w:t xml:space="preserve">AWK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AWK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~$1.57 vs. cons $1.545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AWK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Revenues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~$1.30B vs. cons $1.313B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AWK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Regulated O&amp;M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~$418M vs. cons $413M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AWK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Operating EPS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6.02</m:t>
              </m:r>
              <m:r>
                <m:rPr>
                  <m:sty m:val="p"/>
                </m:rPr>
                <m:t>−</m:t>
              </m:r>
            </m:oMath>
            <w:r>
              <w:t xml:space="preserve">6.12 reaffirmed vs. cons $6.090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AWK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Revenue Ramp / PA Rate Commentary (Q3-Q4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PA Aug + NJ fall; flag $74.9M PA outcome as within plan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AWK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AWK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-2.0% (FADE)</w:t>
            </w:r>
          </w:p>
        </w:tc>
        <w:tc>
          <w:tcPr/>
          <w:p>
            <w:pPr>
              <w:pStyle w:val="Compact"/>
            </w:pPr>
            <w:r>
              <w:t xml:space="preserve">FADE — sell-side incorporates PA shortfall into Q3/Q4 estimates; partial offset from low bar and HTO positive read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2026-08-01T02:03:01Z</dcterms:created>
  <dcterms:modified xsi:type="dcterms:W3CDTF">2026-08-01T02:03:01Z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