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American Water Works (AWK) — Q2 2026 Earnings Preview</w:t>
      </w:r>
    </w:p>
    <w:p>
      <w:r>
        <w:rPr>
          <w:rFonts w:ascii="Calibri" w:hAnsi="Calibri"/>
          <w:b/>
          <w:color w:val="525866"/>
          <w:sz w:val="22"/>
        </w:rPr>
        <w:t xml:space="preserve">Ticker: </w:t>
      </w:r>
      <w:r>
        <w:rPr>
          <w:rFonts w:ascii="Calibri" w:hAnsi="Calibri"/>
          <w:color w:val="525866"/>
          <w:sz w:val="22"/>
        </w:rPr>
        <w:t xml:space="preserve">AWK  </w:t>
      </w:r>
      <w:r>
        <w:rPr>
          <w:rFonts w:ascii="Calibri" w:hAnsi="Calibri"/>
          <w:b/>
          <w:color w:val="525866"/>
          <w:sz w:val="22"/>
        </w:rPr>
        <w:t xml:space="preserve">  |  Earnings Date: </w:t>
      </w:r>
      <w:r>
        <w:rPr>
          <w:rFonts w:ascii="Calibri" w:hAnsi="Calibri"/>
          <w:color w:val="525866"/>
          <w:sz w:val="22"/>
        </w:rPr>
        <w:t xml:space="preserve">July 30, 2026  </w:t>
      </w:r>
      <w:r>
        <w:rPr>
          <w:rFonts w:ascii="Calibri" w:hAnsi="Calibri"/>
          <w:b/>
          <w:color w:val="525866"/>
          <w:sz w:val="22"/>
        </w:rPr>
        <w:t xml:space="preserve">  |  Prepared: </w:t>
      </w:r>
      <w:r>
        <w:rPr>
          <w:rFonts w:ascii="Calibri" w:hAnsi="Calibri"/>
          <w:color w:val="525866"/>
          <w:sz w:val="22"/>
        </w:rPr>
        <w:t>July 28,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below management's own internal trajectory, and the biggest swing factor is whether the Pennsylvania rate order (approved July 16) and the Nexus Water Group close (expected by June 30) translate into visible revenue acceleration in the print.</w:t>
      </w:r>
    </w:p>
    <w:p>
      <w:r>
        <w:rPr>
          <w:rFonts w:ascii="Calibri" w:hAnsi="Calibri"/>
          <w:color w:val="525866"/>
          <w:sz w:val="22"/>
        </w:rPr>
        <w:t xml:space="preserve">Heading into the July 30 print, the bar for AWK looks achievable: consensus Operating EPS of </w:t>
      </w:r>
      <w:r>
        <w:rPr>
          <w:rFonts w:ascii="Calibri" w:hAnsi="Calibri"/>
          <w:b/>
          <w:color w:val="525866"/>
          <w:sz w:val="22"/>
        </w:rPr>
        <w:t>$1.54</w:t>
      </w:r>
      <w:r>
        <w:rPr>
          <w:rFonts w:ascii="Calibri" w:hAnsi="Calibri"/>
          <w:color w:val="525866"/>
          <w:sz w:val="22"/>
        </w:rPr>
        <w:t xml:space="preserve"> for Q2 2026 implies roughly 4% growth versus the $1.49 reported in Q2 2025, a modest ask given management's explicit guidance that </w:t>
      </w:r>
      <w:r>
        <w:rPr>
          <w:rFonts w:ascii="Calibri" w:hAnsi="Calibri"/>
          <w:b/>
          <w:color w:val="525866"/>
          <w:sz w:val="22"/>
        </w:rPr>
        <w:t>the majority of 2026 EPS growth is back-half weighted</w:t>
      </w:r>
      <w:r>
        <w:rPr>
          <w:rFonts w:ascii="Calibri" w:hAnsi="Calibri"/>
          <w:color w:val="525866"/>
          <w:sz w:val="22"/>
        </w:rPr>
        <w:t xml:space="preserve"> — driven by Pennsylvania new rates effective August and New Jersey rates expected later this fall. Management's tone on the Q1 call was confident and unchanged: full-year adjusted EPS guidance of </w:t>
      </w:r>
      <w:r>
        <w:rPr>
          <w:rFonts w:ascii="Calibri" w:hAnsi="Calibri"/>
          <w:b/>
          <w:color w:val="525866"/>
          <w:sz w:val="22"/>
        </w:rPr>
        <w:t>$6.02–$6.12</w:t>
      </w:r>
      <w:r>
        <w:rPr>
          <w:rFonts w:ascii="Calibri" w:hAnsi="Calibri"/>
          <w:color w:val="525866"/>
          <w:sz w:val="22"/>
        </w:rPr>
        <w:t xml:space="preserve"> was reaffirmed, the dividend was raised 8.2%, and the Nexus Water Group acquisition closed by June 30 as guided. Estimate revisions since the Q1 print have been modestly positive — the 2Q 2026 consensus has drifted up from $1.63 (as of May 5) to $1.54 (latest), reflecting some normalization, while the FY 2026 consensus of ~$6.09 sits comfortably within the guidance range. The stock has recovered from its post-Q1 dip and is up ~5% since last earnings, roughly in line with the water utility ETF (PHO +5%), suggesting the market has largely digested the Q1 miss and is not pricing in a meaningful beat. The </w:t>
      </w:r>
      <w:r>
        <w:rPr>
          <w:rFonts w:ascii="Calibri" w:hAnsi="Calibri"/>
          <w:b/>
          <w:color w:val="525866"/>
          <w:sz w:val="22"/>
        </w:rPr>
        <w:t>wildcard</w:t>
      </w:r>
      <w:r>
        <w:rPr>
          <w:rFonts w:ascii="Calibri" w:hAnsi="Calibri"/>
          <w:color w:val="525866"/>
          <w:sz w:val="22"/>
        </w:rPr>
        <w:t xml:space="preserve"> is the magnitude of the Pennsylvania rate order: the PUC approved ~$74.9M in annual revenue on July 16 — below the originally requested amount — and management's commentary on the shortfall and its impact on the H2 earnings ramp will be the most closely watched element of the call.</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Consensus is a low-to-moderate bar on Operating EPS ($1.54 vs. $1.49 prior year), with revenue the bigger swing factor given the Nexus close and Pennsylvania rate step-up both landing in Q2. The rate case outcome is the single most important variable for the print and the H2 guide.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$1.01</w:t>
            </w:r>
          </w:p>
        </w:tc>
        <w:tc>
          <w:tcPr>
            <w:tcW w:type="dxa" w:w="1234"/>
          </w:tcPr>
          <w:p>
            <w:r>
              <w:rPr>
                <w:rFonts w:ascii="Calibri" w:hAnsi="Calibri"/>
                <w:sz w:val="22"/>
              </w:rPr>
              <w:t>$1.49</w:t>
            </w:r>
          </w:p>
        </w:tc>
        <w:tc>
          <w:tcPr>
            <w:tcW w:type="dxa" w:w="1234"/>
          </w:tcPr>
          <w:p>
            <w:r>
              <w:rPr>
                <w:rFonts w:ascii="Calibri" w:hAnsi="Calibri"/>
                <w:sz w:val="22"/>
              </w:rPr>
              <w:t>$1.54</w:t>
            </w:r>
          </w:p>
        </w:tc>
        <w:tc>
          <w:tcPr>
            <w:tcW w:type="dxa" w:w="1234"/>
          </w:tcPr>
          <w:p>
            <w:r>
              <w:rPr>
                <w:rFonts w:ascii="Calibri" w:hAnsi="Calibri"/>
                <w:sz w:val="22"/>
              </w:rPr>
              <w:t>+3.4%</w:t>
            </w:r>
          </w:p>
        </w:tc>
        <w:tc>
          <w:tcPr>
            <w:tcW w:type="dxa" w:w="1234"/>
          </w:tcPr>
          <w:p>
            <w:r>
              <w:rPr>
                <w:rFonts w:ascii="Calibri" w:hAnsi="Calibri"/>
                <w:sz w:val="22"/>
              </w:rPr>
              <w:t>FY $6.02–$6.12 (mgmt. affirmed)</w:t>
            </w:r>
          </w:p>
        </w:tc>
        <w:tc>
          <w:tcPr>
            <w:tcW w:type="dxa" w:w="1234"/>
          </w:tcPr>
          <w:p>
            <w:r>
              <w:rPr>
                <w:rFonts w:ascii="Calibri" w:hAnsi="Calibri"/>
                <w:sz w:val="22"/>
              </w:rPr>
              <w:t>FY consensus $6.09 vs. midpoint $6.07 (+0.3%)</w:t>
            </w:r>
          </w:p>
        </w:tc>
      </w:tr>
      <w:tr>
        <w:tc>
          <w:tcPr>
            <w:tcW w:type="dxa" w:w="1234"/>
          </w:tcPr>
          <w:p>
            <w:r>
              <w:rPr>
                <w:rFonts w:ascii="Calibri" w:hAnsi="Calibri"/>
                <w:sz w:val="22"/>
              </w:rPr>
              <w:t>Operating Revenues</w:t>
            </w:r>
          </w:p>
        </w:tc>
        <w:tc>
          <w:tcPr>
            <w:tcW w:type="dxa" w:w="1234"/>
          </w:tcPr>
          <w:p>
            <w:r>
              <w:rPr>
                <w:rFonts w:ascii="Calibri" w:hAnsi="Calibri"/>
                <w:sz w:val="22"/>
              </w:rPr>
              <w:t>$1,207M</w:t>
            </w:r>
          </w:p>
        </w:tc>
        <w:tc>
          <w:tcPr>
            <w:tcW w:type="dxa" w:w="1234"/>
          </w:tcPr>
          <w:p>
            <w:r>
              <w:rPr>
                <w:rFonts w:ascii="Calibri" w:hAnsi="Calibri"/>
                <w:sz w:val="22"/>
              </w:rPr>
              <w:t>$1,276M</w:t>
            </w:r>
          </w:p>
        </w:tc>
        <w:tc>
          <w:tcPr>
            <w:tcW w:type="dxa" w:w="1234"/>
          </w:tcPr>
          <w:p>
            <w:r>
              <w:rPr>
                <w:rFonts w:ascii="Calibri" w:hAnsi="Calibri"/>
                <w:sz w:val="22"/>
              </w:rPr>
              <w:t>$1,313M</w:t>
            </w:r>
          </w:p>
        </w:tc>
        <w:tc>
          <w:tcPr>
            <w:tcW w:type="dxa" w:w="1234"/>
          </w:tcPr>
          <w:p>
            <w:r>
              <w:rPr>
                <w:rFonts w:ascii="Calibri" w:hAnsi="Calibri"/>
                <w:sz w:val="22"/>
              </w:rPr>
              <w:t>+2.9%</w:t>
            </w:r>
          </w:p>
        </w:tc>
        <w:tc>
          <w:tcPr>
            <w:tcW w:type="dxa" w:w="1234"/>
          </w:tcPr>
          <w:p>
            <w:r>
              <w:rPr>
                <w:rFonts w:ascii="Calibri" w:hAnsi="Calibri"/>
                <w:sz w:val="22"/>
              </w:rPr>
              <w:t>No explicit Q2 revenue guidance</w:t>
            </w:r>
          </w:p>
        </w:tc>
        <w:tc>
          <w:tcPr>
            <w:tcW w:type="dxa" w:w="1234"/>
          </w:tcPr>
          <w:p>
            <w:r>
              <w:rPr>
                <w:rFonts w:ascii="Calibri" w:hAnsi="Calibri"/>
                <w:sz w:val="22"/>
              </w:rPr>
              <w:t>N/A — no Q2 revenue guidance</w:t>
            </w:r>
          </w:p>
        </w:tc>
      </w:tr>
      <w:tr>
        <w:tc>
          <w:tcPr>
            <w:tcW w:type="dxa" w:w="1234"/>
          </w:tcPr>
          <w:p>
            <w:r>
              <w:rPr>
                <w:rFonts w:ascii="Calibri" w:hAnsi="Calibri"/>
                <w:sz w:val="22"/>
              </w:rPr>
              <w:t>Total Rate Base</w:t>
            </w:r>
          </w:p>
        </w:tc>
        <w:tc>
          <w:tcPr>
            <w:tcW w:type="dxa" w:w="1234"/>
          </w:tcPr>
          <w:p>
            <w:r>
              <w:rPr>
                <w:rFonts w:ascii="Calibri" w:hAnsi="Calibri"/>
                <w:sz w:val="22"/>
              </w:rPr>
              <w:t>$24.6B</w:t>
            </w:r>
          </w:p>
        </w:tc>
        <w:tc>
          <w:tcPr>
            <w:tcW w:type="dxa" w:w="1234"/>
          </w:tcPr>
          <w:p>
            <w:r>
              <w:rPr>
                <w:rFonts w:ascii="Calibri" w:hAnsi="Calibri"/>
                <w:sz w:val="22"/>
              </w:rPr>
              <w:t>$23.1B</w:t>
            </w:r>
          </w:p>
        </w:tc>
        <w:tc>
          <w:tcPr>
            <w:tcW w:type="dxa" w:w="1234"/>
          </w:tcPr>
          <w:p>
            <w:r>
              <w:rPr>
                <w:rFonts w:ascii="Calibri" w:hAnsi="Calibri"/>
                <w:sz w:val="22"/>
              </w:rPr>
              <w:t>$25.3B</w:t>
            </w:r>
          </w:p>
        </w:tc>
        <w:tc>
          <w:tcPr>
            <w:tcW w:type="dxa" w:w="1234"/>
          </w:tcPr>
          <w:p>
            <w:r>
              <w:rPr>
                <w:rFonts w:ascii="Calibri" w:hAnsi="Calibri"/>
                <w:sz w:val="22"/>
              </w:rPr>
              <w:t>+9.5%</w:t>
            </w:r>
          </w:p>
        </w:tc>
        <w:tc>
          <w:tcPr>
            <w:tcW w:type="dxa" w:w="1234"/>
          </w:tcPr>
          <w:p>
            <w:r>
              <w:rPr>
                <w:rFonts w:ascii="Calibri" w:hAnsi="Calibri"/>
                <w:sz w:val="22"/>
              </w:rPr>
              <w:t>8–9% long-term growth target</w:t>
            </w:r>
          </w:p>
        </w:tc>
        <w:tc>
          <w:tcPr>
            <w:tcW w:type="dxa" w:w="1234"/>
          </w:tcPr>
          <w:p>
            <w:r>
              <w:rPr>
                <w:rFonts w:ascii="Calibri" w:hAnsi="Calibri"/>
                <w:sz w:val="22"/>
              </w:rPr>
              <w:t>Tracking above target</w:t>
            </w:r>
          </w:p>
        </w:tc>
      </w:tr>
      <w:tr>
        <w:tc>
          <w:tcPr>
            <w:tcW w:type="dxa" w:w="1234"/>
          </w:tcPr>
          <w:p>
            <w:r>
              <w:rPr>
                <w:rFonts w:ascii="Calibri" w:hAnsi="Calibri"/>
                <w:sz w:val="22"/>
              </w:rPr>
              <w:t>Capital Expenditures</w:t>
            </w:r>
          </w:p>
        </w:tc>
        <w:tc>
          <w:tcPr>
            <w:tcW w:type="dxa" w:w="1234"/>
          </w:tcPr>
          <w:p>
            <w:r>
              <w:rPr>
                <w:rFonts w:ascii="Calibri" w:hAnsi="Calibri"/>
                <w:sz w:val="22"/>
              </w:rPr>
              <w:t>$659M</w:t>
            </w:r>
          </w:p>
        </w:tc>
        <w:tc>
          <w:tcPr>
            <w:tcW w:type="dxa" w:w="1234"/>
          </w:tcPr>
          <w:p>
            <w:r>
              <w:rPr>
                <w:rFonts w:ascii="Calibri" w:hAnsi="Calibri"/>
                <w:sz w:val="22"/>
              </w:rPr>
              <w:t>$733M</w:t>
            </w:r>
          </w:p>
        </w:tc>
        <w:tc>
          <w:tcPr>
            <w:tcW w:type="dxa" w:w="1234"/>
          </w:tcPr>
          <w:p>
            <w:r>
              <w:rPr>
                <w:rFonts w:ascii="Calibri" w:hAnsi="Calibri"/>
                <w:sz w:val="22"/>
              </w:rPr>
              <w:t>$969M</w:t>
            </w:r>
          </w:p>
        </w:tc>
        <w:tc>
          <w:tcPr>
            <w:tcW w:type="dxa" w:w="1234"/>
          </w:tcPr>
          <w:p>
            <w:r>
              <w:rPr>
                <w:rFonts w:ascii="Calibri" w:hAnsi="Calibri"/>
                <w:sz w:val="22"/>
              </w:rPr>
              <w:t>+32.2%</w:t>
            </w:r>
          </w:p>
        </w:tc>
        <w:tc>
          <w:tcPr>
            <w:tcW w:type="dxa" w:w="1234"/>
          </w:tcPr>
          <w:p>
            <w:r>
              <w:rPr>
                <w:rFonts w:ascii="Calibri" w:hAnsi="Calibri"/>
                <w:sz w:val="22"/>
              </w:rPr>
              <w:t>FY $3.6B+ (5-yr plan $19–$20B)</w:t>
            </w:r>
          </w:p>
        </w:tc>
        <w:tc>
          <w:tcPr>
            <w:tcW w:type="dxa" w:w="1234"/>
          </w:tcPr>
          <w:p>
            <w:r>
              <w:rPr>
                <w:rFonts w:ascii="Calibri" w:hAnsi="Calibri"/>
                <w:sz w:val="22"/>
              </w:rPr>
              <w:t>FY consensus $3.63B vs. plan midpoint</w:t>
            </w:r>
          </w:p>
        </w:tc>
      </w:tr>
      <w:tr>
        <w:tc>
          <w:tcPr>
            <w:tcW w:type="dxa" w:w="1234"/>
          </w:tcPr>
          <w:p>
            <w:r>
              <w:rPr>
                <w:rFonts w:ascii="Calibri" w:hAnsi="Calibri"/>
                <w:sz w:val="22"/>
              </w:rPr>
              <w:t>Operating Income (Operating)</w:t>
            </w:r>
          </w:p>
        </w:tc>
        <w:tc>
          <w:tcPr>
            <w:tcW w:type="dxa" w:w="1234"/>
          </w:tcPr>
          <w:p>
            <w:r>
              <w:rPr>
                <w:rFonts w:ascii="Calibri" w:hAnsi="Calibri"/>
                <w:sz w:val="22"/>
              </w:rPr>
              <w:t>$391M</w:t>
            </w:r>
          </w:p>
        </w:tc>
        <w:tc>
          <w:tcPr>
            <w:tcW w:type="dxa" w:w="1234"/>
          </w:tcPr>
          <w:p>
            <w:r>
              <w:rPr>
                <w:rFonts w:ascii="Calibri" w:hAnsi="Calibri"/>
                <w:sz w:val="22"/>
              </w:rPr>
              <w:t>$489M</w:t>
            </w:r>
          </w:p>
        </w:tc>
        <w:tc>
          <w:tcPr>
            <w:tcW w:type="dxa" w:w="1234"/>
          </w:tcPr>
          <w:p>
            <w:r>
              <w:rPr>
                <w:rFonts w:ascii="Calibri" w:hAnsi="Calibri"/>
                <w:sz w:val="22"/>
              </w:rPr>
              <w:t>$533M</w:t>
            </w:r>
          </w:p>
        </w:tc>
        <w:tc>
          <w:tcPr>
            <w:tcW w:type="dxa" w:w="1234"/>
          </w:tcPr>
          <w:p>
            <w:r>
              <w:rPr>
                <w:rFonts w:ascii="Calibri" w:hAnsi="Calibri"/>
                <w:sz w:val="22"/>
              </w:rPr>
              <w:t>+9.0%</w:t>
            </w:r>
          </w:p>
        </w:tc>
        <w:tc>
          <w:tcPr>
            <w:tcW w:type="dxa" w:w="1234"/>
          </w:tcPr>
          <w:p>
            <w:r>
              <w:rPr>
                <w:rFonts w:ascii="Calibri" w:hAnsi="Calibri"/>
                <w:sz w:val="22"/>
              </w:rPr>
              <w:t>No explicit Q2 guidance</w:t>
            </w:r>
          </w:p>
        </w:tc>
        <w:tc>
          <w:tcPr>
            <w:tcW w:type="dxa" w:w="1234"/>
          </w:tcPr>
          <w:p>
            <w:r>
              <w:rPr>
                <w:rFonts w:ascii="Calibri" w:hAnsi="Calibri"/>
                <w:sz w:val="22"/>
              </w:rPr>
              <w:t>N/A</w:t>
            </w:r>
          </w:p>
        </w:tc>
      </w:tr>
      <w:tr>
        <w:tc>
          <w:tcPr>
            <w:tcW w:type="dxa" w:w="1234"/>
          </w:tcPr>
          <w:p>
            <w:r>
              <w:rPr>
                <w:rFonts w:ascii="Calibri" w:hAnsi="Calibri"/>
                <w:sz w:val="22"/>
              </w:rPr>
              <w:t>O&amp;M — Regulated</w:t>
            </w:r>
          </w:p>
        </w:tc>
        <w:tc>
          <w:tcPr>
            <w:tcW w:type="dxa" w:w="1234"/>
          </w:tcPr>
          <w:p>
            <w:r>
              <w:rPr>
                <w:rFonts w:ascii="Calibri" w:hAnsi="Calibri"/>
                <w:sz w:val="22"/>
              </w:rPr>
              <w:t>$417M</w:t>
            </w:r>
          </w:p>
        </w:tc>
        <w:tc>
          <w:tcPr>
            <w:tcW w:type="dxa" w:w="1234"/>
          </w:tcPr>
          <w:p>
            <w:r>
              <w:rPr>
                <w:rFonts w:ascii="Calibri" w:hAnsi="Calibri"/>
                <w:sz w:val="22"/>
              </w:rPr>
              <w:t>$406M</w:t>
            </w:r>
          </w:p>
        </w:tc>
        <w:tc>
          <w:tcPr>
            <w:tcW w:type="dxa" w:w="1234"/>
          </w:tcPr>
          <w:p>
            <w:r>
              <w:rPr>
                <w:rFonts w:ascii="Calibri" w:hAnsi="Calibri"/>
                <w:sz w:val="22"/>
              </w:rPr>
              <w:t>$413M</w:t>
            </w:r>
          </w:p>
        </w:tc>
        <w:tc>
          <w:tcPr>
            <w:tcW w:type="dxa" w:w="1234"/>
          </w:tcPr>
          <w:p>
            <w:r>
              <w:rPr>
                <w:rFonts w:ascii="Calibri" w:hAnsi="Calibri"/>
                <w:sz w:val="22"/>
              </w:rPr>
              <w:t>+1.7%</w:t>
            </w:r>
          </w:p>
        </w:tc>
        <w:tc>
          <w:tcPr>
            <w:tcW w:type="dxa" w:w="1234"/>
          </w:tcPr>
          <w:p>
            <w:r>
              <w:rPr>
                <w:rFonts w:ascii="Calibri" w:hAnsi="Calibri"/>
                <w:sz w:val="22"/>
              </w:rPr>
              <w:t>Outlook unchanged per Q1 call</w:t>
            </w:r>
          </w:p>
        </w:tc>
        <w:tc>
          <w:tcPr>
            <w:tcW w:type="dxa" w:w="1234"/>
          </w:tcPr>
          <w:p>
            <w:r>
              <w:rPr>
                <w:rFonts w:ascii="Calibri" w:hAnsi="Calibri"/>
                <w:sz w:val="22"/>
              </w:rPr>
              <w:t>In line with guidance</w:t>
            </w:r>
          </w:p>
        </w:tc>
      </w:tr>
    </w:tbl>
    <w:p>
      <w:r>
        <w:rPr>
          <w:rFonts w:ascii="Calibri" w:hAnsi="Calibri"/>
          <w:i/>
          <w:color w:val="525866"/>
          <w:sz w:val="22"/>
        </w:rPr>
        <w:t>Source: Visible Alpha Consensus and Actuals Data. All consensus figures as of July 28, 2026. Q2 2026 actuals not yet reported.</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$1.42</w:t>
            </w:r>
          </w:p>
        </w:tc>
        <w:tc>
          <w:tcPr>
            <w:tcW w:type="dxa" w:w="1440"/>
          </w:tcPr>
          <w:p>
            <w:r>
              <w:rPr>
                <w:rFonts w:ascii="Calibri" w:hAnsi="Calibri"/>
                <w:sz w:val="22"/>
              </w:rPr>
              <w:t>$1.46</w:t>
            </w:r>
          </w:p>
        </w:tc>
        <w:tc>
          <w:tcPr>
            <w:tcW w:type="dxa" w:w="1440"/>
          </w:tcPr>
          <w:p>
            <w:r>
              <w:rPr>
                <w:rFonts w:ascii="Calibri" w:hAnsi="Calibri"/>
                <w:b/>
                <w:color w:val="E5484D"/>
                <w:sz w:val="22"/>
              </w:rPr>
              <w:t>−2.8%</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Operating Revenues</w:t>
            </w:r>
          </w:p>
        </w:tc>
        <w:tc>
          <w:tcPr>
            <w:tcW w:type="dxa" w:w="1440"/>
          </w:tcPr>
          <w:p>
            <w:r>
              <w:rPr>
                <w:rFonts w:ascii="Calibri" w:hAnsi="Calibri"/>
                <w:sz w:val="22"/>
              </w:rPr>
              <w:t>$1,149M</w:t>
            </w:r>
          </w:p>
        </w:tc>
        <w:tc>
          <w:tcPr>
            <w:tcW w:type="dxa" w:w="1440"/>
          </w:tcPr>
          <w:p>
            <w:r>
              <w:rPr>
                <w:rFonts w:ascii="Calibri" w:hAnsi="Calibri"/>
                <w:sz w:val="22"/>
              </w:rPr>
              <w:t>$1,149M</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$1.80</w:t>
            </w:r>
          </w:p>
        </w:tc>
        <w:tc>
          <w:tcPr>
            <w:tcW w:type="dxa" w:w="1440"/>
          </w:tcPr>
          <w:p>
            <w:r>
              <w:rPr>
                <w:rFonts w:ascii="Calibri" w:hAnsi="Calibri"/>
                <w:sz w:val="22"/>
              </w:rPr>
              <w:t>$1.85</w:t>
            </w:r>
          </w:p>
        </w:tc>
        <w:tc>
          <w:tcPr>
            <w:tcW w:type="dxa" w:w="1440"/>
          </w:tcPr>
          <w:p>
            <w:r>
              <w:rPr>
                <w:rFonts w:ascii="Calibri" w:hAnsi="Calibri"/>
                <w:b/>
                <w:color w:val="E5484D"/>
                <w:sz w:val="22"/>
              </w:rPr>
              <w:t>−2.7%</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Operating Revenues</w:t>
            </w:r>
          </w:p>
        </w:tc>
        <w:tc>
          <w:tcPr>
            <w:tcW w:type="dxa" w:w="1440"/>
          </w:tcPr>
          <w:p>
            <w:r>
              <w:rPr>
                <w:rFonts w:ascii="Calibri" w:hAnsi="Calibri"/>
                <w:sz w:val="22"/>
              </w:rPr>
              <w:t>$1,323M</w:t>
            </w:r>
          </w:p>
        </w:tc>
        <w:tc>
          <w:tcPr>
            <w:tcW w:type="dxa" w:w="1440"/>
          </w:tcPr>
          <w:p>
            <w:r>
              <w:rPr>
                <w:rFonts w:ascii="Calibri" w:hAnsi="Calibri"/>
                <w:sz w:val="22"/>
              </w:rPr>
              <w:t>$1,277M</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$1.22</w:t>
            </w:r>
          </w:p>
        </w:tc>
        <w:tc>
          <w:tcPr>
            <w:tcW w:type="dxa" w:w="1440"/>
          </w:tcPr>
          <w:p>
            <w:r>
              <w:rPr>
                <w:rFonts w:ascii="Calibri" w:hAnsi="Calibri"/>
                <w:sz w:val="22"/>
              </w:rPr>
              <w:t>$1.12</w:t>
            </w:r>
          </w:p>
        </w:tc>
        <w:tc>
          <w:tcPr>
            <w:tcW w:type="dxa" w:w="1440"/>
          </w:tcPr>
          <w:p>
            <w:r>
              <w:rPr>
                <w:rFonts w:ascii="Calibri" w:hAnsi="Calibri"/>
                <w:b/>
                <w:color w:val="30A46C"/>
                <w:sz w:val="22"/>
              </w:rPr>
              <w:t>+9.2%</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Operating Revenues</w:t>
            </w:r>
          </w:p>
        </w:tc>
        <w:tc>
          <w:tcPr>
            <w:tcW w:type="dxa" w:w="1440"/>
          </w:tcPr>
          <w:p>
            <w:r>
              <w:rPr>
                <w:rFonts w:ascii="Calibri" w:hAnsi="Calibri"/>
                <w:sz w:val="22"/>
              </w:rPr>
              <w:t>$1,201M</w:t>
            </w:r>
          </w:p>
        </w:tc>
        <w:tc>
          <w:tcPr>
            <w:tcW w:type="dxa" w:w="1440"/>
          </w:tcPr>
          <w:p>
            <w:r>
              <w:rPr>
                <w:rFonts w:ascii="Calibri" w:hAnsi="Calibri"/>
                <w:sz w:val="22"/>
              </w:rPr>
              <w:t>$1,143M</w:t>
            </w:r>
          </w:p>
        </w:tc>
        <w:tc>
          <w:tcPr>
            <w:tcW w:type="dxa" w:w="1440"/>
          </w:tcPr>
          <w:p>
            <w:r>
              <w:rPr>
                <w:rFonts w:ascii="Calibri" w:hAnsi="Calibri"/>
                <w:b/>
                <w:color w:val="30A46C"/>
                <w:sz w:val="22"/>
              </w:rPr>
              <w:t>+5.1%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$1.02</w:t>
            </w:r>
          </w:p>
        </w:tc>
        <w:tc>
          <w:tcPr>
            <w:tcW w:type="dxa" w:w="1440"/>
          </w:tcPr>
          <w:p>
            <w:r>
              <w:rPr>
                <w:rFonts w:ascii="Calibri" w:hAnsi="Calibri"/>
                <w:sz w:val="22"/>
              </w:rPr>
              <w:t>$1.00</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Operating Revenues</w:t>
            </w:r>
          </w:p>
        </w:tc>
        <w:tc>
          <w:tcPr>
            <w:tcW w:type="dxa" w:w="1440"/>
          </w:tcPr>
          <w:p>
            <w:r>
              <w:rPr>
                <w:rFonts w:ascii="Calibri" w:hAnsi="Calibri"/>
                <w:sz w:val="22"/>
              </w:rPr>
              <w:t>$1,142M</w:t>
            </w:r>
          </w:p>
        </w:tc>
        <w:tc>
          <w:tcPr>
            <w:tcW w:type="dxa" w:w="1440"/>
          </w:tcPr>
          <w:p>
            <w:r>
              <w:rPr>
                <w:rFonts w:ascii="Calibri" w:hAnsi="Calibri"/>
                <w:sz w:val="22"/>
              </w:rPr>
              <w:t>$1,118M</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$1.49</w:t>
            </w:r>
          </w:p>
        </w:tc>
        <w:tc>
          <w:tcPr>
            <w:tcW w:type="dxa" w:w="1440"/>
          </w:tcPr>
          <w:p>
            <w:r>
              <w:rPr>
                <w:rFonts w:ascii="Calibri" w:hAnsi="Calibri"/>
                <w:sz w:val="22"/>
              </w:rPr>
              <w:t>$1.52</w:t>
            </w:r>
          </w:p>
        </w:tc>
        <w:tc>
          <w:tcPr>
            <w:tcW w:type="dxa" w:w="1440"/>
          </w:tcPr>
          <w:p>
            <w:r>
              <w:rPr>
                <w:rFonts w:ascii="Calibri" w:hAnsi="Calibri"/>
                <w:b/>
                <w:color w:val="E5484D"/>
                <w:sz w:val="22"/>
              </w:rPr>
              <w:t>−2.0%</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Operating Revenues</w:t>
            </w:r>
          </w:p>
        </w:tc>
        <w:tc>
          <w:tcPr>
            <w:tcW w:type="dxa" w:w="1440"/>
          </w:tcPr>
          <w:p>
            <w:r>
              <w:rPr>
                <w:rFonts w:ascii="Calibri" w:hAnsi="Calibri"/>
                <w:sz w:val="22"/>
              </w:rPr>
              <w:t>$1,276M</w:t>
            </w:r>
          </w:p>
        </w:tc>
        <w:tc>
          <w:tcPr>
            <w:tcW w:type="dxa" w:w="1440"/>
          </w:tcPr>
          <w:p>
            <w:r>
              <w:rPr>
                <w:rFonts w:ascii="Calibri" w:hAnsi="Calibri"/>
                <w:sz w:val="22"/>
              </w:rPr>
              <w:t>$1,274M</w:t>
            </w:r>
          </w:p>
        </w:tc>
        <w:tc>
          <w:tcPr>
            <w:tcW w:type="dxa" w:w="1440"/>
          </w:tcPr>
          <w:p>
            <w:r>
              <w:rPr>
                <w:rFonts w:ascii="Calibri" w:hAnsi="Calibri"/>
                <w:sz w:val="22"/>
              </w:rPr>
              <w:t>+0.1%</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$1.94</w:t>
            </w:r>
          </w:p>
        </w:tc>
        <w:tc>
          <w:tcPr>
            <w:tcW w:type="dxa" w:w="1440"/>
          </w:tcPr>
          <w:p>
            <w:r>
              <w:rPr>
                <w:rFonts w:ascii="Calibri" w:hAnsi="Calibri"/>
                <w:sz w:val="22"/>
              </w:rPr>
              <w:t>$1.89</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Operating Revenues</w:t>
            </w:r>
          </w:p>
        </w:tc>
        <w:tc>
          <w:tcPr>
            <w:tcW w:type="dxa" w:w="1440"/>
          </w:tcPr>
          <w:p>
            <w:r>
              <w:rPr>
                <w:rFonts w:ascii="Calibri" w:hAnsi="Calibri"/>
                <w:sz w:val="22"/>
              </w:rPr>
              <w:t>$1,451M</w:t>
            </w:r>
          </w:p>
        </w:tc>
        <w:tc>
          <w:tcPr>
            <w:tcW w:type="dxa" w:w="1440"/>
          </w:tcPr>
          <w:p>
            <w:r>
              <w:rPr>
                <w:rFonts w:ascii="Calibri" w:hAnsi="Calibri"/>
                <w:sz w:val="22"/>
              </w:rPr>
              <w:t>$1,450M</w:t>
            </w:r>
          </w:p>
        </w:tc>
        <w:tc>
          <w:tcPr>
            <w:tcW w:type="dxa" w:w="1440"/>
          </w:tcPr>
          <w:p>
            <w:r>
              <w:rPr>
                <w:rFonts w:ascii="Calibri" w:hAnsi="Calibri"/>
                <w:sz w:val="22"/>
              </w:rPr>
              <w:t>+0.1%</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$1.24</w:t>
            </w:r>
          </w:p>
        </w:tc>
        <w:tc>
          <w:tcPr>
            <w:tcW w:type="dxa" w:w="1440"/>
          </w:tcPr>
          <w:p>
            <w:r>
              <w:rPr>
                <w:rFonts w:ascii="Calibri" w:hAnsi="Calibri"/>
                <w:sz w:val="22"/>
              </w:rPr>
              <w:t>$1.25</w:t>
            </w:r>
          </w:p>
        </w:tc>
        <w:tc>
          <w:tcPr>
            <w:tcW w:type="dxa" w:w="1440"/>
          </w:tcPr>
          <w:p>
            <w:r>
              <w:rPr>
                <w:rFonts w:ascii="Calibri" w:hAnsi="Calibri"/>
                <w:sz w:val="22"/>
              </w:rPr>
              <w:t>−0.5%</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Operating Revenues</w:t>
            </w:r>
          </w:p>
        </w:tc>
        <w:tc>
          <w:tcPr>
            <w:tcW w:type="dxa" w:w="1440"/>
          </w:tcPr>
          <w:p>
            <w:r>
              <w:rPr>
                <w:rFonts w:ascii="Calibri" w:hAnsi="Calibri"/>
                <w:sz w:val="22"/>
              </w:rPr>
              <w:t>$1,271M</w:t>
            </w:r>
          </w:p>
        </w:tc>
        <w:tc>
          <w:tcPr>
            <w:tcW w:type="dxa" w:w="1440"/>
          </w:tcPr>
          <w:p>
            <w:r>
              <w:rPr>
                <w:rFonts w:ascii="Calibri" w:hAnsi="Calibri"/>
                <w:sz w:val="22"/>
              </w:rPr>
              <w:t>$1,262M</w:t>
            </w:r>
          </w:p>
        </w:tc>
        <w:tc>
          <w:tcPr>
            <w:tcW w:type="dxa" w:w="1440"/>
          </w:tcPr>
          <w:p>
            <w:r>
              <w:rPr>
                <w:rFonts w:ascii="Calibri" w:hAnsi="Calibri"/>
                <w:sz w:val="22"/>
              </w:rPr>
              <w:t>+0.7%</w:t>
            </w:r>
          </w:p>
        </w:tc>
        <w:tc>
          <w:tcPr>
            <w:tcW w:type="dxa" w:w="1440"/>
          </w:tcPr>
          <w:p>
            <w:r>
              <w:rPr>
                <w:rFonts w:ascii="Calibri" w:hAnsi="Calibri"/>
                <w:sz w:val="22"/>
              </w:rPr>
              <w:t>In Line</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$1.01</w:t>
            </w:r>
          </w:p>
        </w:tc>
        <w:tc>
          <w:tcPr>
            <w:tcW w:type="dxa" w:w="1440"/>
          </w:tcPr>
          <w:p>
            <w:r>
              <w:rPr>
                <w:rFonts w:ascii="Calibri" w:hAnsi="Calibri"/>
                <w:sz w:val="22"/>
              </w:rPr>
              <w:t>$1.09</w:t>
            </w:r>
          </w:p>
        </w:tc>
        <w:tc>
          <w:tcPr>
            <w:tcW w:type="dxa" w:w="1440"/>
          </w:tcPr>
          <w:p>
            <w:r>
              <w:rPr>
                <w:rFonts w:ascii="Calibri" w:hAnsi="Calibri"/>
                <w:b/>
                <w:color w:val="E5484D"/>
                <w:sz w:val="22"/>
              </w:rPr>
              <w:t>−7.3%</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Operating Revenues</w:t>
            </w:r>
          </w:p>
        </w:tc>
        <w:tc>
          <w:tcPr>
            <w:tcW w:type="dxa" w:w="1440"/>
          </w:tcPr>
          <w:p>
            <w:r>
              <w:rPr>
                <w:rFonts w:ascii="Calibri" w:hAnsi="Calibri"/>
                <w:sz w:val="22"/>
              </w:rPr>
              <w:t>$1,207M</w:t>
            </w:r>
          </w:p>
        </w:tc>
        <w:tc>
          <w:tcPr>
            <w:tcW w:type="dxa" w:w="1440"/>
          </w:tcPr>
          <w:p>
            <w:r>
              <w:rPr>
                <w:rFonts w:ascii="Calibri" w:hAnsi="Calibri"/>
                <w:sz w:val="22"/>
              </w:rPr>
              <w:t>$1,190M</w:t>
            </w:r>
          </w:p>
        </w:tc>
        <w:tc>
          <w:tcPr>
            <w:tcW w:type="dxa" w:w="1440"/>
          </w:tcPr>
          <w:p>
            <w:r>
              <w:rPr>
                <w:rFonts w:ascii="Calibri" w:hAnsi="Calibri"/>
                <w:b/>
                <w:color w:val="30A46C"/>
                <w:sz w:val="22"/>
              </w:rPr>
              <w:t>+1.4%</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AWK has a mixed beat/miss record on Operating EPS over the last 8 quarters — misses tend to cluster in seasonally lighter Q1 and Q2 periods when rate case timing creates a revenue gap, while Q3 and Q4 (peak usage + rate step-ups) have been more consistent beats. Revenue surprises have been more consistently positive, suggesting the top line is less of a concern than cost and timing items.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Management's tone is unchanged and confident — full-year EPS guidance was reaffirmed on the Q1 call with no post-earnings revisions, and the Pennsylvania rate order received July 16 is a meaningful positive catalyst for H2 execution. No guidance has been formally revised since the April 29 earnings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$6.02–$6.12 (8% growth vs. 2025)</w:t>
            </w:r>
          </w:p>
        </w:tc>
        <w:tc>
          <w:tcPr>
            <w:tcW w:type="dxa" w:w="1728"/>
          </w:tcPr>
          <w:p>
            <w:r>
              <w:rPr>
                <w:rFonts w:ascii="Calibri" w:hAnsi="Calibri"/>
                <w:sz w:val="22"/>
              </w:rPr>
              <w:t>—</w:t>
            </w:r>
          </w:p>
        </w:tc>
        <w:tc>
          <w:tcPr>
            <w:tcW w:type="dxa" w:w="1728"/>
          </w:tcPr>
          <w:p>
            <w:r>
              <w:rPr>
                <w:rFonts w:ascii="Calibri" w:hAnsi="Calibri"/>
                <w:sz w:val="22"/>
              </w:rPr>
              <w:t>$6.09</w:t>
            </w:r>
          </w:p>
        </w:tc>
        <w:tc>
          <w:tcPr>
            <w:tcW w:type="dxa" w:w="1728"/>
          </w:tcPr>
          <w:p>
            <w:r>
              <w:rPr>
                <w:rFonts w:ascii="Calibri" w:hAnsi="Calibri"/>
                <w:sz w:val="22"/>
              </w:rPr>
              <w:t>Affirmed; consensus sits at midpoint. No post-earnings change.</w:t>
            </w:r>
          </w:p>
        </w:tc>
      </w:tr>
      <w:tr>
        <w:tc>
          <w:tcPr>
            <w:tcW w:type="dxa" w:w="1728"/>
          </w:tcPr>
          <w:p>
            <w:r>
              <w:rPr>
                <w:rFonts w:ascii="Calibri" w:hAnsi="Calibri"/>
                <w:sz w:val="22"/>
              </w:rPr>
              <w:t>Long-Term EPS/Dividend Growth</w:t>
            </w:r>
          </w:p>
        </w:tc>
        <w:tc>
          <w:tcPr>
            <w:tcW w:type="dxa" w:w="1728"/>
          </w:tcPr>
          <w:p>
            <w:r>
              <w:rPr>
                <w:rFonts w:ascii="Calibri" w:hAnsi="Calibri"/>
                <w:sz w:val="22"/>
              </w:rPr>
              <w:t>7–9% annually through 2030+</w:t>
            </w:r>
          </w:p>
        </w:tc>
        <w:tc>
          <w:tcPr>
            <w:tcW w:type="dxa" w:w="1728"/>
          </w:tcPr>
          <w:p>
            <w:r>
              <w:rPr>
                <w:rFonts w:ascii="Calibri" w:hAnsi="Calibri"/>
                <w:sz w:val="22"/>
              </w:rPr>
              <w:t>—</w:t>
            </w:r>
          </w:p>
        </w:tc>
        <w:tc>
          <w:tcPr>
            <w:tcW w:type="dxa" w:w="1728"/>
          </w:tcPr>
          <w:p>
            <w:r>
              <w:rPr>
                <w:rFonts w:ascii="Calibri" w:hAnsi="Calibri"/>
                <w:sz w:val="22"/>
              </w:rPr>
              <w:t>N/A (long-term target)</w:t>
            </w:r>
          </w:p>
        </w:tc>
        <w:tc>
          <w:tcPr>
            <w:tcW w:type="dxa" w:w="1728"/>
          </w:tcPr>
          <w:p>
            <w:r>
              <w:rPr>
                <w:rFonts w:ascii="Calibri" w:hAnsi="Calibri"/>
                <w:sz w:val="22"/>
              </w:rPr>
              <w:t>Affirmed; consistent with pre-merger messaging.</w:t>
            </w:r>
          </w:p>
        </w:tc>
      </w:tr>
      <w:tr>
        <w:tc>
          <w:tcPr>
            <w:tcW w:type="dxa" w:w="1728"/>
          </w:tcPr>
          <w:p>
            <w:r>
              <w:rPr>
                <w:rFonts w:ascii="Calibri" w:hAnsi="Calibri"/>
                <w:sz w:val="22"/>
              </w:rPr>
              <w:t>Quarterly Dividend</w:t>
            </w:r>
          </w:p>
        </w:tc>
        <w:tc>
          <w:tcPr>
            <w:tcW w:type="dxa" w:w="1728"/>
          </w:tcPr>
          <w:p>
            <w:r>
              <w:rPr>
                <w:rFonts w:ascii="Calibri" w:hAnsi="Calibri"/>
                <w:sz w:val="22"/>
              </w:rPr>
              <w:t>$0.8950/share (raised 8.2% on Q1 call)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Board approved 8.2% increase on Apr 29; no further change.</w:t>
            </w:r>
          </w:p>
        </w:tc>
      </w:tr>
      <w:tr>
        <w:tc>
          <w:tcPr>
            <w:tcW w:type="dxa" w:w="1728"/>
          </w:tcPr>
          <w:p>
            <w:r>
              <w:rPr>
                <w:rFonts w:ascii="Calibri" w:hAnsi="Calibri"/>
                <w:sz w:val="22"/>
              </w:rPr>
              <w:t>Pennsylvania Rate Case</w:t>
            </w:r>
          </w:p>
        </w:tc>
        <w:tc>
          <w:tcPr>
            <w:tcW w:type="dxa" w:w="1728"/>
          </w:tcPr>
          <w:p>
            <w:r>
              <w:rPr>
                <w:rFonts w:ascii="Calibri" w:hAnsi="Calibri"/>
                <w:sz w:val="22"/>
              </w:rPr>
              <w:t>Final order expected July; new rates effective August</w:t>
            </w:r>
          </w:p>
        </w:tc>
        <w:tc>
          <w:tcPr>
            <w:tcW w:type="dxa" w:w="1728"/>
          </w:tcPr>
          <w:p>
            <w:r>
              <w:rPr>
                <w:rFonts w:ascii="Calibri" w:hAnsi="Calibri"/>
                <w:sz w:val="22"/>
              </w:rPr>
              <w:t>PUC approved ~$74.9M annual revenue increase (Jul 16, 2026)</w:t>
            </w:r>
          </w:p>
        </w:tc>
        <w:tc>
          <w:tcPr>
            <w:tcW w:type="dxa" w:w="1728"/>
          </w:tcPr>
          <w:p>
            <w:r>
              <w:rPr>
                <w:rFonts w:ascii="Calibri" w:hAnsi="Calibri"/>
                <w:sz w:val="22"/>
              </w:rPr>
              <w:t>N/A</w:t>
            </w:r>
          </w:p>
        </w:tc>
        <w:tc>
          <w:tcPr>
            <w:tcW w:type="dxa" w:w="1728"/>
          </w:tcPr>
          <w:p>
            <w:r>
              <w:rPr>
                <w:rFonts w:ascii="Calibri" w:hAnsi="Calibri"/>
                <w:sz w:val="22"/>
              </w:rPr>
              <w:t>↑ Positive catalyst — PUC issued decision Jul 16 per 8-K; below original request but confirms H2 revenue step-up.</w:t>
            </w:r>
          </w:p>
        </w:tc>
      </w:tr>
      <w:tr>
        <w:tc>
          <w:tcPr>
            <w:tcW w:type="dxa" w:w="1728"/>
          </w:tcPr>
          <w:p>
            <w:r>
              <w:rPr>
                <w:rFonts w:ascii="Calibri" w:hAnsi="Calibri"/>
                <w:sz w:val="22"/>
              </w:rPr>
              <w:t>New Jersey Rate Case</w:t>
            </w:r>
          </w:p>
        </w:tc>
        <w:tc>
          <w:tcPr>
            <w:tcW w:type="dxa" w:w="1728"/>
          </w:tcPr>
          <w:p>
            <w:r>
              <w:rPr>
                <w:rFonts w:ascii="Calibri" w:hAnsi="Calibri"/>
                <w:sz w:val="22"/>
              </w:rPr>
              <w:t>New rates expected later this fall (Q3/Q4)</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key H2 earnings driver alongside PA.</w:t>
            </w:r>
          </w:p>
        </w:tc>
      </w:tr>
      <w:tr>
        <w:tc>
          <w:tcPr>
            <w:tcW w:type="dxa" w:w="1728"/>
          </w:tcPr>
          <w:p>
            <w:r>
              <w:rPr>
                <w:rFonts w:ascii="Calibri" w:hAnsi="Calibri"/>
                <w:sz w:val="22"/>
              </w:rPr>
              <w:t>Nexus Water Group Acquisition</w:t>
            </w:r>
          </w:p>
        </w:tc>
        <w:tc>
          <w:tcPr>
            <w:tcW w:type="dxa" w:w="1728"/>
          </w:tcPr>
          <w:p>
            <w:r>
              <w:rPr>
                <w:rFonts w:ascii="Calibri" w:hAnsi="Calibri"/>
                <w:sz w:val="22"/>
              </w:rPr>
              <w:t>Close expected by June 30, 2026</w:t>
            </w:r>
          </w:p>
        </w:tc>
        <w:tc>
          <w:tcPr>
            <w:tcW w:type="dxa" w:w="1728"/>
          </w:tcPr>
          <w:p>
            <w:r>
              <w:rPr>
                <w:rFonts w:ascii="Calibri" w:hAnsi="Calibri"/>
                <w:sz w:val="22"/>
              </w:rPr>
              <w:t>Closed by June 30 (7 of 8 state approvals received as of Q1 call)</w:t>
            </w:r>
          </w:p>
        </w:tc>
        <w:tc>
          <w:tcPr>
            <w:tcW w:type="dxa" w:w="1728"/>
          </w:tcPr>
          <w:p>
            <w:r>
              <w:rPr>
                <w:rFonts w:ascii="Calibri" w:hAnsi="Calibri"/>
                <w:sz w:val="22"/>
              </w:rPr>
              <w:t>N/A</w:t>
            </w:r>
          </w:p>
        </w:tc>
        <w:tc>
          <w:tcPr>
            <w:tcW w:type="dxa" w:w="1728"/>
          </w:tcPr>
          <w:p>
            <w:r>
              <w:rPr>
                <w:rFonts w:ascii="Calibri" w:hAnsi="Calibri"/>
                <w:sz w:val="22"/>
              </w:rPr>
              <w:t>↑ Closed on schedule; customer additions will appear in Q2 results.</w:t>
            </w:r>
          </w:p>
        </w:tc>
      </w:tr>
      <w:tr>
        <w:tc>
          <w:tcPr>
            <w:tcW w:type="dxa" w:w="1728"/>
          </w:tcPr>
          <w:p>
            <w:r>
              <w:rPr>
                <w:rFonts w:ascii="Calibri" w:hAnsi="Calibri"/>
                <w:sz w:val="22"/>
              </w:rPr>
              <w:t>Missouri Rate Case</w:t>
            </w:r>
          </w:p>
        </w:tc>
        <w:tc>
          <w:tcPr>
            <w:tcW w:type="dxa" w:w="1728"/>
          </w:tcPr>
          <w:p>
            <w:r>
              <w:rPr>
                <w:rFonts w:ascii="Calibri" w:hAnsi="Calibri"/>
                <w:sz w:val="22"/>
              </w:rPr>
              <w:t>Not filed as of Q1 call</w:t>
            </w:r>
          </w:p>
        </w:tc>
        <w:tc>
          <w:tcPr>
            <w:tcW w:type="dxa" w:w="1728"/>
          </w:tcPr>
          <w:p>
            <w:r>
              <w:rPr>
                <w:rFonts w:ascii="Calibri" w:hAnsi="Calibri"/>
                <w:sz w:val="22"/>
              </w:rPr>
              <w:t>Filed Jul 1, 2026 — $179M rate increase request; decision expected ~June 2027</w:t>
            </w:r>
          </w:p>
        </w:tc>
        <w:tc>
          <w:tcPr>
            <w:tcW w:type="dxa" w:w="1728"/>
          </w:tcPr>
          <w:p>
            <w:r>
              <w:rPr>
                <w:rFonts w:ascii="Calibri" w:hAnsi="Calibri"/>
                <w:sz w:val="22"/>
              </w:rPr>
              <w:t>N/A</w:t>
            </w:r>
          </w:p>
        </w:tc>
        <w:tc>
          <w:tcPr>
            <w:tcW w:type="dxa" w:w="1728"/>
          </w:tcPr>
          <w:p>
            <w:r>
              <w:rPr>
                <w:rFonts w:ascii="Calibri" w:hAnsi="Calibri"/>
                <w:sz w:val="22"/>
              </w:rPr>
              <w:t>New development post-Q1; supports long-term rate base growth narrative.</w:t>
            </w:r>
          </w:p>
        </w:tc>
      </w:tr>
      <w:tr>
        <w:tc>
          <w:tcPr>
            <w:tcW w:type="dxa" w:w="1728"/>
          </w:tcPr>
          <w:p>
            <w:r>
              <w:rPr>
                <w:rFonts w:ascii="Calibri" w:hAnsi="Calibri"/>
                <w:sz w:val="22"/>
              </w:rPr>
              <w:t>FY 2026 CapEx</w:t>
            </w:r>
          </w:p>
        </w:tc>
        <w:tc>
          <w:tcPr>
            <w:tcW w:type="dxa" w:w="1728"/>
          </w:tcPr>
          <w:p>
            <w:r>
              <w:rPr>
                <w:rFonts w:ascii="Calibri" w:hAnsi="Calibri"/>
                <w:sz w:val="22"/>
              </w:rPr>
              <w:t>~$3.6B+ (5-yr plan $19–$20B)</w:t>
            </w:r>
          </w:p>
        </w:tc>
        <w:tc>
          <w:tcPr>
            <w:tcW w:type="dxa" w:w="1728"/>
          </w:tcPr>
          <w:p>
            <w:r>
              <w:rPr>
                <w:rFonts w:ascii="Calibri" w:hAnsi="Calibri"/>
                <w:sz w:val="22"/>
              </w:rPr>
              <w:t>—</w:t>
            </w:r>
          </w:p>
        </w:tc>
        <w:tc>
          <w:tcPr>
            <w:tcW w:type="dxa" w:w="1728"/>
          </w:tcPr>
          <w:p>
            <w:r>
              <w:rPr>
                <w:rFonts w:ascii="Calibri" w:hAnsi="Calibri"/>
                <w:sz w:val="22"/>
              </w:rPr>
              <w:t>$3.63B</w:t>
            </w:r>
          </w:p>
        </w:tc>
        <w:tc>
          <w:tcPr>
            <w:tcW w:type="dxa" w:w="1728"/>
          </w:tcPr>
          <w:p>
            <w:r>
              <w:rPr>
                <w:rFonts w:ascii="Calibri" w:hAnsi="Calibri"/>
                <w:sz w:val="22"/>
              </w:rPr>
              <w:t>Unchanged; consensus in line with plan.</w:t>
            </w:r>
          </w:p>
        </w:tc>
      </w:tr>
      <w:tr>
        <w:tc>
          <w:tcPr>
            <w:tcW w:type="dxa" w:w="1728"/>
          </w:tcPr>
          <w:p>
            <w:r>
              <w:rPr>
                <w:rFonts w:ascii="Calibri" w:hAnsi="Calibri"/>
                <w:sz w:val="22"/>
              </w:rPr>
              <w:t>Equity Forward Settlement</w:t>
            </w:r>
          </w:p>
        </w:tc>
        <w:tc>
          <w:tcPr>
            <w:tcW w:type="dxa" w:w="1728"/>
          </w:tcPr>
          <w:p>
            <w:r>
              <w:rPr>
                <w:rFonts w:ascii="Calibri" w:hAnsi="Calibri"/>
                <w:sz w:val="22"/>
              </w:rPr>
              <w:t>~$1B equity forward to settle mid-2026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Expected to settle in Q2; dilution impact will be visible in Q2 share count.</w:t>
            </w:r>
          </w:p>
        </w:tc>
      </w:tr>
      <w:tr>
        <w:tc>
          <w:tcPr>
            <w:tcW w:type="dxa" w:w="1728"/>
          </w:tcPr>
          <w:p>
            <w:r>
              <w:rPr>
                <w:rFonts w:ascii="Calibri" w:hAnsi="Calibri"/>
                <w:sz w:val="22"/>
              </w:rPr>
              <w:t>CAMT Cash Benefit</w:t>
            </w:r>
          </w:p>
        </w:tc>
        <w:tc>
          <w:tcPr>
            <w:tcW w:type="dxa" w:w="1728"/>
          </w:tcPr>
          <w:p>
            <w:r>
              <w:rPr>
                <w:rFonts w:ascii="Calibri" w:hAnsi="Calibri"/>
                <w:sz w:val="22"/>
              </w:rPr>
              <w:t>~$84M refund expected in 2026; ~$100M/yr ongoing benefit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Plan refresh in Q3 will incorporate CAMT benefit and evaluate equity needs.</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Q2 2026 Operating EPS estimates have drifted slightly lower since the Q1 print (from $1.63 to $1.54), likely reflecting the modest Q1 miss and some conservatism around the PA rate order magnitude; however, FY 2026 estimates are essentially flat and remain squarely within the guidance range, suggesting the Street is not pricing in a guidance cut.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$1.63</w:t>
            </w:r>
          </w:p>
        </w:tc>
        <w:tc>
          <w:tcPr>
            <w:tcW w:type="dxa" w:w="1080"/>
          </w:tcPr>
          <w:p>
            <w:r>
              <w:rPr>
                <w:rFonts w:ascii="Calibri" w:hAnsi="Calibri"/>
                <w:sz w:val="22"/>
              </w:rPr>
              <w:t>$1.54</w:t>
            </w:r>
          </w:p>
        </w:tc>
        <w:tc>
          <w:tcPr>
            <w:tcW w:type="dxa" w:w="1080"/>
          </w:tcPr>
          <w:p>
            <w:r>
              <w:rPr>
                <w:rFonts w:ascii="Calibri" w:hAnsi="Calibri"/>
                <w:b/>
                <w:color w:val="E5484D"/>
                <w:sz w:val="22"/>
              </w:rPr>
              <w:t>−5.5%</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$6.10</w:t>
            </w:r>
          </w:p>
        </w:tc>
        <w:tc>
          <w:tcPr>
            <w:tcW w:type="dxa" w:w="1080"/>
          </w:tcPr>
          <w:p>
            <w:r>
              <w:rPr>
                <w:rFonts w:ascii="Calibri" w:hAnsi="Calibri"/>
                <w:sz w:val="22"/>
              </w:rPr>
              <w:t>$6.09</w:t>
            </w:r>
          </w:p>
        </w:tc>
        <w:tc>
          <w:tcPr>
            <w:tcW w:type="dxa" w:w="1080"/>
          </w:tcPr>
          <w:p>
            <w:r>
              <w:rPr>
                <w:rFonts w:ascii="Calibri" w:hAnsi="Calibri"/>
                <w:sz w:val="22"/>
              </w:rPr>
              <w:t>−0.2%</w:t>
            </w:r>
          </w:p>
        </w:tc>
        <w:tc>
          <w:tcPr>
            <w:tcW w:type="dxa" w:w="1080"/>
          </w:tcPr>
          <w:p>
            <w:r>
              <w:rPr>
                <w:rFonts w:ascii="Calibri" w:hAnsi="Calibri"/>
                <w:sz w:val="22"/>
              </w:rPr>
              <w:t>$6.02–$6.12</w:t>
            </w:r>
          </w:p>
        </w:tc>
        <w:tc>
          <w:tcPr>
            <w:tcW w:type="dxa" w:w="1080"/>
          </w:tcPr>
          <w:p>
            <w:r>
              <w:rPr>
                <w:rFonts w:ascii="Calibri" w:hAnsi="Calibri"/>
                <w:sz w:val="22"/>
              </w:rPr>
              <w:t>$6.02–$6.12 (affirmed)</w:t>
            </w:r>
          </w:p>
        </w:tc>
        <w:tc>
          <w:tcPr>
            <w:tcW w:type="dxa" w:w="1080"/>
          </w:tcPr>
          <w:p>
            <w:r>
              <w:rPr>
                <w:rFonts w:ascii="Calibri" w:hAnsi="Calibri"/>
                <w:sz w:val="22"/>
              </w:rPr>
              <w:t>Unchanged</w:t>
            </w:r>
          </w:p>
        </w:tc>
        <w:tc>
          <w:tcPr>
            <w:tcW w:type="dxa" w:w="1080"/>
          </w:tcPr>
          <w:p>
            <w:r>
              <w:rPr>
                <w:rFonts w:ascii="Calibri" w:hAnsi="Calibri"/>
                <w:sz w:val="22"/>
              </w:rPr>
              <w:t>+0.3% vs. midpoint ($6.07)</w:t>
            </w:r>
          </w:p>
        </w:tc>
      </w:tr>
      <w:tr>
        <w:tc>
          <w:tcPr>
            <w:tcW w:type="dxa" w:w="1080"/>
          </w:tcPr>
          <w:p>
            <w:r>
              <w:rPr>
                <w:rFonts w:ascii="Calibri" w:hAnsi="Calibri"/>
                <w:sz w:val="22"/>
              </w:rPr>
              <w:t>Operating EPS — FY 2027</w:t>
            </w:r>
          </w:p>
        </w:tc>
        <w:tc>
          <w:tcPr>
            <w:tcW w:type="dxa" w:w="1080"/>
          </w:tcPr>
          <w:p>
            <w:r>
              <w:rPr>
                <w:rFonts w:ascii="Calibri" w:hAnsi="Calibri"/>
                <w:sz w:val="22"/>
              </w:rPr>
              <w:t>$6.60</w:t>
            </w:r>
          </w:p>
        </w:tc>
        <w:tc>
          <w:tcPr>
            <w:tcW w:type="dxa" w:w="1080"/>
          </w:tcPr>
          <w:p>
            <w:r>
              <w:rPr>
                <w:rFonts w:ascii="Calibri" w:hAnsi="Calibri"/>
                <w:sz w:val="22"/>
              </w:rPr>
              <w:t>$6.57</w:t>
            </w:r>
          </w:p>
        </w:tc>
        <w:tc>
          <w:tcPr>
            <w:tcW w:type="dxa" w:w="1080"/>
          </w:tcPr>
          <w:p>
            <w:r>
              <w:rPr>
                <w:rFonts w:ascii="Calibri" w:hAnsi="Calibri"/>
                <w:sz w:val="22"/>
              </w:rPr>
              <w:t>−0.4%</w:t>
            </w:r>
          </w:p>
        </w:tc>
        <w:tc>
          <w:tcPr>
            <w:tcW w:type="dxa" w:w="1080"/>
          </w:tcPr>
          <w:p>
            <w:r>
              <w:rPr>
                <w:rFonts w:ascii="Calibri" w:hAnsi="Calibri"/>
                <w:sz w:val="22"/>
              </w:rPr>
              <w:t>7–9% LT growth target</w:t>
            </w:r>
          </w:p>
        </w:tc>
        <w:tc>
          <w:tcPr>
            <w:tcW w:type="dxa" w:w="1080"/>
          </w:tcPr>
          <w:p>
            <w:r>
              <w:rPr>
                <w:rFonts w:ascii="Calibri" w:hAnsi="Calibri"/>
                <w:sz w:val="22"/>
              </w:rPr>
              <w:t>7–9% LT growth target (affirmed)</w:t>
            </w:r>
          </w:p>
        </w:tc>
        <w:tc>
          <w:tcPr>
            <w:tcW w:type="dxa" w:w="1080"/>
          </w:tcPr>
          <w:p>
            <w:r>
              <w:rPr>
                <w:rFonts w:ascii="Calibri" w:hAnsi="Calibri"/>
                <w:sz w:val="22"/>
              </w:rPr>
              <w:t>Unchanged</w:t>
            </w:r>
          </w:p>
        </w:tc>
        <w:tc>
          <w:tcPr>
            <w:tcW w:type="dxa" w:w="1080"/>
          </w:tcPr>
          <w:p>
            <w:r>
              <w:rPr>
                <w:rFonts w:ascii="Calibri" w:hAnsi="Calibri"/>
                <w:sz w:val="22"/>
              </w:rPr>
              <w:t>~8.0% growth vs. FY26 consensus; within target range</w:t>
            </w:r>
          </w:p>
        </w:tc>
      </w:tr>
      <w:tr>
        <w:tc>
          <w:tcPr>
            <w:tcW w:type="dxa" w:w="1080"/>
          </w:tcPr>
          <w:p>
            <w:r>
              <w:rPr>
                <w:rFonts w:ascii="Calibri" w:hAnsi="Calibri"/>
                <w:sz w:val="22"/>
              </w:rPr>
              <w:t>Operating Revenues — Q2 2026</w:t>
            </w:r>
          </w:p>
        </w:tc>
        <w:tc>
          <w:tcPr>
            <w:tcW w:type="dxa" w:w="1080"/>
          </w:tcPr>
          <w:p>
            <w:r>
              <w:rPr>
                <w:rFonts w:ascii="Calibri" w:hAnsi="Calibri"/>
                <w:sz w:val="22"/>
              </w:rPr>
              <w:t>$1,394M</w:t>
            </w:r>
          </w:p>
        </w:tc>
        <w:tc>
          <w:tcPr>
            <w:tcW w:type="dxa" w:w="1080"/>
          </w:tcPr>
          <w:p>
            <w:r>
              <w:rPr>
                <w:rFonts w:ascii="Calibri" w:hAnsi="Calibri"/>
                <w:sz w:val="22"/>
              </w:rPr>
              <w:t>$1,313M</w:t>
            </w:r>
          </w:p>
        </w:tc>
        <w:tc>
          <w:tcPr>
            <w:tcW w:type="dxa" w:w="1080"/>
          </w:tcPr>
          <w:p>
            <w:r>
              <w:rPr>
                <w:rFonts w:ascii="Calibri" w:hAnsi="Calibri"/>
                <w:b/>
                <w:color w:val="E5484D"/>
                <w:sz w:val="22"/>
              </w:rPr>
              <w:t>−5.8%</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Revenues — FY 2026</w:t>
            </w:r>
          </w:p>
        </w:tc>
        <w:tc>
          <w:tcPr>
            <w:tcW w:type="dxa" w:w="1080"/>
          </w:tcPr>
          <w:p>
            <w:r>
              <w:rPr>
                <w:rFonts w:ascii="Calibri" w:hAnsi="Calibri"/>
                <w:sz w:val="22"/>
              </w:rPr>
              <w:t>$5,526M</w:t>
            </w:r>
          </w:p>
        </w:tc>
        <w:tc>
          <w:tcPr>
            <w:tcW w:type="dxa" w:w="1080"/>
          </w:tcPr>
          <w:p>
            <w:r>
              <w:rPr>
                <w:rFonts w:ascii="Calibri" w:hAnsi="Calibri"/>
                <w:sz w:val="22"/>
              </w:rPr>
              <w:t>$5,413M</w:t>
            </w:r>
          </w:p>
        </w:tc>
        <w:tc>
          <w:tcPr>
            <w:tcW w:type="dxa" w:w="1080"/>
          </w:tcPr>
          <w:p>
            <w:r>
              <w:rPr>
                <w:rFonts w:ascii="Calibri" w:hAnsi="Calibri"/>
                <w:b/>
                <w:color w:val="E5484D"/>
                <w:sz w:val="22"/>
              </w:rPr>
              <w:t>−2.0%</w:t>
            </w:r>
          </w:p>
        </w:tc>
        <w:tc>
          <w:tcPr>
            <w:tcW w:type="dxa" w:w="1080"/>
          </w:tcPr>
          <w:p>
            <w:r>
              <w:rPr>
                <w:rFonts w:ascii="Calibri" w:hAnsi="Calibri"/>
                <w:sz w:val="22"/>
              </w:rPr>
              <w:t>No explicit FY revenue guidance</w:t>
            </w:r>
          </w:p>
        </w:tc>
        <w:tc>
          <w:tcPr>
            <w:tcW w:type="dxa" w:w="1080"/>
          </w:tcPr>
          <w:p>
            <w:r>
              <w:rPr>
                <w:rFonts w:ascii="Calibri" w:hAnsi="Calibri"/>
                <w:sz w:val="22"/>
              </w:rPr>
              <w:t>No explicit FY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Rate Base — Q2 2026</w:t>
            </w:r>
          </w:p>
        </w:tc>
        <w:tc>
          <w:tcPr>
            <w:tcW w:type="dxa" w:w="1080"/>
          </w:tcPr>
          <w:p>
            <w:r>
              <w:rPr>
                <w:rFonts w:ascii="Calibri" w:hAnsi="Calibri"/>
                <w:sz w:val="22"/>
              </w:rPr>
              <w:t>$24.9B</w:t>
            </w:r>
          </w:p>
        </w:tc>
        <w:tc>
          <w:tcPr>
            <w:tcW w:type="dxa" w:w="1080"/>
          </w:tcPr>
          <w:p>
            <w:r>
              <w:rPr>
                <w:rFonts w:ascii="Calibri" w:hAnsi="Calibri"/>
                <w:sz w:val="22"/>
              </w:rPr>
              <w:t>$25.3B</w:t>
            </w:r>
          </w:p>
        </w:tc>
        <w:tc>
          <w:tcPr>
            <w:tcW w:type="dxa" w:w="1080"/>
          </w:tcPr>
          <w:p>
            <w:r>
              <w:rPr>
                <w:rFonts w:ascii="Calibri" w:hAnsi="Calibri"/>
                <w:b/>
                <w:color w:val="30A46C"/>
                <w:sz w:val="22"/>
              </w:rPr>
              <w:t>+1.5%</w:t>
            </w:r>
          </w:p>
        </w:tc>
        <w:tc>
          <w:tcPr>
            <w:tcW w:type="dxa" w:w="1080"/>
          </w:tcPr>
          <w:p>
            <w:r>
              <w:rPr>
                <w:rFonts w:ascii="Calibri" w:hAnsi="Calibri"/>
                <w:sz w:val="22"/>
              </w:rPr>
              <w:t>8–9% LT growth target</w:t>
            </w:r>
          </w:p>
        </w:tc>
        <w:tc>
          <w:tcPr>
            <w:tcW w:type="dxa" w:w="1080"/>
          </w:tcPr>
          <w:p>
            <w:r>
              <w:rPr>
                <w:rFonts w:ascii="Calibri" w:hAnsi="Calibri"/>
                <w:sz w:val="22"/>
              </w:rPr>
              <w:t>8–9% LT growth target (affirmed)</w:t>
            </w:r>
          </w:p>
        </w:tc>
        <w:tc>
          <w:tcPr>
            <w:tcW w:type="dxa" w:w="1080"/>
          </w:tcPr>
          <w:p>
            <w:r>
              <w:rPr>
                <w:rFonts w:ascii="Calibri" w:hAnsi="Calibri"/>
                <w:sz w:val="22"/>
              </w:rPr>
              <w:t>Unchanged</w:t>
            </w:r>
          </w:p>
        </w:tc>
        <w:tc>
          <w:tcPr>
            <w:tcW w:type="dxa" w:w="1080"/>
          </w:tcPr>
          <w:p>
            <w:r>
              <w:rPr>
                <w:rFonts w:ascii="Calibri" w:hAnsi="Calibri"/>
                <w:sz w:val="22"/>
              </w:rPr>
              <w:t>Tracking above target on YoY basis</w:t>
            </w:r>
          </w:p>
        </w:tc>
      </w:tr>
    </w:tbl>
    <w:p>
      <w:r>
        <w:rPr>
          <w:rFonts w:ascii="Calibri" w:hAnsi="Calibri"/>
          <w:color w:val="525866"/>
          <w:sz w:val="22"/>
        </w:rPr>
        <w:t>The downward drift in Q2 revenue estimates (from $1,394M to $1,313M) likely reflects the Street resetting after the Q1 revenue beat and incorporating more conservative assumptions around the timing of the Nexus close and PA rate step-up. EPS estimates are more stable, suggesting analysts expect cost discipline to offset any revenue timing slippage. The FY 2026 EPS consensus of $6.09 sitting at the midpoint of guidance is a healthy setup — it leaves room for a beat if H2 rate case revenues come in on schedule.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AWK has tracked closely with the water utility ETF (PHO) since the Q1 print, both up ~5%, modestly outpacing the S&amp;P 500 (+4%). The stock's recovery from its post-Q1 dip suggests the miss was absorbed and the market is giving management credit for the guidance reaffirmation and dividend raise — but the stock is not pricing in a meaningful beat, leaving upside optionality into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AWK vs. PHO (Invesco Water Resources ETF) vs. S&amp;P 500 (SPY) — Indexed to 100 at April 29, 2026 (Q1 2026 Earnings Date). Source: Stock Price Data.</w:t>
      </w:r>
    </w:p>
    <w:p>
      <w:r>
        <w:rPr>
          <w:rFonts w:ascii="Calibri" w:hAnsi="Calibri"/>
          <w:b/>
          <w:color w:val="525866"/>
          <w:sz w:val="22"/>
        </w:rPr>
        <w:t xml:space="preserve">Sector ETF used: </w:t>
      </w:r>
      <w:r>
        <w:rPr>
          <w:rFonts w:ascii="Calibri" w:hAnsi="Calibri"/>
          <w:color w:val="525866"/>
          <w:sz w:val="22"/>
        </w:rPr>
        <w:t>PHO (Invesco Water Resources ETF) — the most widely followed water utility sub-sector ETF, directly tracking AWK's peer group including WTRG, AWR, CWT, SJW, and MSEX. AWK is the largest holding in PHO, making it the most appropriate benchmark for sub-sector relative performance.</w:t>
      </w:r>
    </w:p>
    <w:p>
      <w:r>
        <w:rPr>
          <w:rFonts w:ascii="Calibri" w:hAnsi="Calibri"/>
          <w:b/>
          <w:color w:val="525866"/>
          <w:sz w:val="22"/>
        </w:rPr>
        <w:t xml:space="preserve">Key observations: </w:t>
      </w:r>
      <w:r>
        <w:rPr>
          <w:rFonts w:ascii="Calibri" w:hAnsi="Calibri"/>
          <w:color w:val="525866"/>
          <w:sz w:val="22"/>
        </w:rPr>
        <w:t>AWK opened the period at $131.97 on April 29 and closed at $138.04 on July 29 (+4.6% indexed). PHO gained +5.4% over the same period, slightly outperforming AWK, while SPY gained +4.1%. The notable spike in AWK on July 2 (to $136.86) and July 16 (to $134.33) aligns with the Pennsylvania PUC rate decision announcement. The stock pulled back modestly in mid-July before recovering into the earnings date, suggesting the market viewed the PA rate order as a partial positive but not a full beat of expectations.</w:t>
      </w:r>
    </w:p>
    <w:p>
      <w:r>
        <w:br w:type="page"/>
      </w:r>
    </w:p>
    <w:p>
      <w:pPr>
        <w:pStyle w:val="Heading2"/>
      </w:pPr>
      <w:r>
        <w:rPr>
          <w:rFonts w:ascii="Calibri" w:hAnsi="Calibri"/>
          <w:b/>
          <w:color w:val="3B4259"/>
          <w:sz w:val="28"/>
        </w:rPr>
        <w:t>Peer Commentaries — Q2 2026 Read-Throughs</w:t>
      </w:r>
    </w:p>
    <w:p>
      <w:r>
        <w:rPr>
          <w:rFonts w:ascii="Calibri" w:hAnsi="Calibri"/>
          <w:b/>
          <w:color w:val="525866"/>
          <w:sz w:val="22"/>
        </w:rPr>
        <w:t xml:space="preserve">Key Takeaway: </w:t>
      </w:r>
      <w:r>
        <w:rPr>
          <w:rFonts w:ascii="Calibri" w:hAnsi="Calibri"/>
          <w:color w:val="525866"/>
          <w:sz w:val="22"/>
        </w:rPr>
        <w:t>Three water utility peers reported in the last 60 days with commentary directly relevant to AWK's Q2 2026 setup: HTO (H2O America, Q2 2026), WTRG (Essential Utilities, Q1 2026), and AWR (American States Water, Q1 2026). The read-throughs are broadly constructive — rate relief is flowing through, regulatory execution is solid, and the sector is managing cost inflation — but the Texas regulatory environment (SIC mechanism) and Valley Water wholesale cost escalation at HTO are sector-specific cautions that do not directly apply to AWK.</w:t>
      </w:r>
    </w:p>
    <w:p>
      <w:pPr>
        <w:pStyle w:val="Heading3"/>
      </w:pPr>
      <w:r>
        <w:rPr>
          <w:rFonts w:ascii="Calibri" w:hAnsi="Calibri"/>
          <w:b/>
          <w:color w:val="3B4259"/>
          <w:sz w:val="24"/>
        </w:rPr>
        <w:t>HTO (H2O America / SJW Group) — Q2 2026 Earnings (Reported July 28, 2026)</w:t>
      </w:r>
    </w:p>
    <w:p>
      <w:r>
        <w:rPr>
          <w:rFonts w:ascii="Calibri" w:hAnsi="Calibri"/>
          <w:b/>
          <w:color w:val="525866"/>
          <w:sz w:val="22"/>
        </w:rPr>
        <w:t xml:space="preserve">Relevance: </w:t>
      </w:r>
      <w:r>
        <w:rPr>
          <w:rFonts w:ascii="Calibri" w:hAnsi="Calibri"/>
          <w:color w:val="525866"/>
          <w:sz w:val="22"/>
        </w:rPr>
        <w:t>HTO is the most directly comparable peer for Q2 2026 read-through as it reported the same quarter. Its results and commentary provide the freshest sector data point heading into AWK's July 30 print.</w:t>
      </w:r>
    </w:p>
    <w:p>
      <w:pPr>
        <w:pStyle w:val="ListBullet"/>
        <w:ind w:left="360" w:hanging="360"/>
      </w:pPr>
      <w:r>
        <w:rPr>
          <w:rFonts w:ascii="Calibri" w:hAnsi="Calibri"/>
          <w:b/>
          <w:color w:val="525866"/>
          <w:sz w:val="22"/>
        </w:rPr>
        <w:t xml:space="preserve">Rate relief is the primary earnings driver: </w:t>
      </w:r>
      <w:r>
        <w:rPr>
          <w:rFonts w:ascii="Calibri" w:hAnsi="Calibri"/>
          <w:b/>
          <w:color w:val="30A46C"/>
          <w:sz w:val="22"/>
        </w:rPr>
        <w:t xml:space="preserve">HTO reported Q2 2026 adjusted EPS of $0.72, with $0.30/share of the YoY increase driven by rate relief and higher pass-through revenues. Over 90% of budgeted year-over-year revenue increases have been approved by regulators for H2 2026, providing strong visibility. </w:t>
      </w:r>
      <w:r>
        <w:rPr>
          <w:rFonts w:ascii="Calibri" w:hAnsi="Calibri"/>
          <w:b/>
          <w:color w:val="525866"/>
          <w:sz w:val="22"/>
        </w:rPr>
        <w:t xml:space="preserve">Read-through for AWK: </w:t>
      </w:r>
      <w:r>
        <w:rPr>
          <w:rFonts w:ascii="Calibri" w:hAnsi="Calibri"/>
          <w:color w:val="525866"/>
          <w:sz w:val="22"/>
        </w:rPr>
        <w:t>Confirms that rate case execution is translating into earnings in Q2 across the sector — supportive for AWK's PA and NJ rate step-ups.</w:t>
      </w:r>
    </w:p>
    <w:p>
      <w:pPr>
        <w:pStyle w:val="ListBullet"/>
        <w:ind w:left="360" w:hanging="360"/>
      </w:pPr>
      <w:r>
        <w:rPr>
          <w:rFonts w:ascii="Calibri" w:hAnsi="Calibri"/>
          <w:b/>
          <w:color w:val="525866"/>
          <w:sz w:val="22"/>
        </w:rPr>
        <w:t xml:space="preserve">Cost inflation normalizing: </w:t>
      </w:r>
      <w:r>
        <w:rPr>
          <w:rFonts w:ascii="Calibri" w:hAnsi="Calibri"/>
          <w:b/>
          <w:color w:val="30A46C"/>
          <w:sz w:val="22"/>
        </w:rPr>
        <w:t xml:space="preserve">HTO noted that material cost inflation has returned to more normal levels, with wage inflation slightly elevated but manageable. Water supply costs (purchased water, groundwater extraction fees) remain elevated in California but are largely pass-through. </w:t>
      </w:r>
      <w:r>
        <w:rPr>
          <w:rFonts w:ascii="Calibri" w:hAnsi="Calibri"/>
          <w:b/>
          <w:color w:val="525866"/>
          <w:sz w:val="22"/>
        </w:rPr>
        <w:t xml:space="preserve">Read-through for AWK: </w:t>
      </w:r>
      <w:r>
        <w:rPr>
          <w:rFonts w:ascii="Calibri" w:hAnsi="Calibri"/>
          <w:color w:val="525866"/>
          <w:sz w:val="22"/>
        </w:rPr>
        <w:t>AWK's O&amp;M outlook is unchanged per Q1 guidance; HTO's commentary supports the view that cost pressures are not accelerating.</w:t>
      </w:r>
    </w:p>
    <w:p>
      <w:pPr>
        <w:pStyle w:val="ListBullet"/>
        <w:ind w:left="360" w:hanging="360"/>
      </w:pPr>
      <w:r>
        <w:rPr>
          <w:rFonts w:ascii="Calibri" w:hAnsi="Calibri"/>
          <w:b/>
          <w:color w:val="525866"/>
          <w:sz w:val="22"/>
        </w:rPr>
        <w:t xml:space="preserve">Regulatory execution solid across states: </w:t>
      </w:r>
      <w:r>
        <w:rPr>
          <w:rFonts w:ascii="Calibri" w:hAnsi="Calibri"/>
          <w:b/>
          <w:color w:val="30A46C"/>
          <w:sz w:val="22"/>
        </w:rPr>
        <w:t xml:space="preserve">HTO filed GRCs in Connecticut and Maine in Q2, expects constructive outcomes, and is progressing on California PFAS remediation recovery ($176M William Station project). The company reiterated its 2026 standalone adjusted EPS guidance of $3.08–$3.18 and long-term 6–8% EPS CAGR. </w:t>
      </w:r>
      <w:r>
        <w:rPr>
          <w:rFonts w:ascii="Calibri" w:hAnsi="Calibri"/>
          <w:b/>
          <w:color w:val="525866"/>
          <w:sz w:val="22"/>
        </w:rPr>
        <w:t xml:space="preserve">Read-through for AWK: </w:t>
      </w:r>
      <w:r>
        <w:rPr>
          <w:rFonts w:ascii="Calibri" w:hAnsi="Calibri"/>
          <w:color w:val="525866"/>
          <w:sz w:val="22"/>
        </w:rPr>
        <w:t>Broad regulatory constructiveness across water utility states is a positive backdrop for AWK's pending NJ case and Missouri filing.</w:t>
      </w:r>
    </w:p>
    <w:p>
      <w:pPr>
        <w:pStyle w:val="ListBullet"/>
        <w:ind w:left="360" w:hanging="360"/>
      </w:pPr>
      <w:r>
        <w:rPr>
          <w:rFonts w:ascii="Calibri" w:hAnsi="Calibri"/>
          <w:b/>
          <w:color w:val="525866"/>
          <w:sz w:val="22"/>
        </w:rPr>
        <w:t xml:space="preserve">Texas SIC mechanism headwind — sector-specific caution: </w:t>
      </w:r>
      <w:r>
        <w:rPr>
          <w:rFonts w:ascii="Calibri" w:hAnsi="Calibri"/>
          <w:b/>
          <w:color w:val="E5484D"/>
          <w:sz w:val="22"/>
        </w:rPr>
        <w:t xml:space="preserve">HTO received an ALJ proposal for a $285K revenue decrease vs. its $5.1M request in the Texas SIC mechanism. The company acknowledged documentation shortfalls and is pursuing recovery via a 2027 GRC if needed. </w:t>
      </w:r>
      <w:r>
        <w:rPr>
          <w:rFonts w:ascii="Calibri" w:hAnsi="Calibri"/>
          <w:b/>
          <w:color w:val="525866"/>
          <w:sz w:val="22"/>
        </w:rPr>
        <w:t xml:space="preserve">Read-through for AWK: </w:t>
      </w:r>
      <w:r>
        <w:rPr>
          <w:rFonts w:ascii="Calibri" w:hAnsi="Calibri"/>
          <w:color w:val="525866"/>
          <w:sz w:val="22"/>
        </w:rPr>
        <w:t>AWK has no Texas exposure; this is not a direct read-through but signals that regulatory outcomes can disappoint even in constructive environments.</w:t>
      </w:r>
    </w:p>
    <w:p>
      <w:pPr>
        <w:pStyle w:val="ListBullet"/>
        <w:ind w:left="360" w:hanging="360"/>
      </w:pPr>
      <w:r>
        <w:rPr>
          <w:rFonts w:ascii="Calibri" w:hAnsi="Calibri"/>
          <w:b/>
          <w:color w:val="525866"/>
          <w:sz w:val="22"/>
        </w:rPr>
        <w:t xml:space="preserve">Valley Water wholesale cost escalation — California-specific: </w:t>
      </w:r>
      <w:r>
        <w:rPr>
          <w:rFonts w:ascii="Calibri" w:hAnsi="Calibri"/>
          <w:b/>
          <w:color w:val="E5484D"/>
          <w:sz w:val="22"/>
        </w:rPr>
        <w:t xml:space="preserve">HTO flagged that Valley Water (wholesale supplier) has increased purchased water rates at a 10% CAGR over 10 years, with rates projected to more than double in the next decade. HTO is exploring direct potable reuse and desalination as alternatives. </w:t>
      </w:r>
      <w:r>
        <w:rPr>
          <w:rFonts w:ascii="Calibri" w:hAnsi="Calibri"/>
          <w:b/>
          <w:color w:val="525866"/>
          <w:sz w:val="22"/>
        </w:rPr>
        <w:t xml:space="preserve">Read-through for AWK: </w:t>
      </w:r>
      <w:r>
        <w:rPr>
          <w:rFonts w:ascii="Calibri" w:hAnsi="Calibri"/>
          <w:color w:val="525866"/>
          <w:sz w:val="22"/>
        </w:rPr>
        <w:t>AWK has limited California exposure relative to HTO; this is not a material direct read-through but highlights sector-wide water supply cost risk.</w:t>
      </w:r>
    </w:p>
    <w:p>
      <w:pPr>
        <w:pStyle w:val="ListBullet"/>
        <w:ind w:left="360" w:hanging="360"/>
      </w:pPr>
      <w:r>
        <w:rPr>
          <w:rFonts w:ascii="Calibri" w:hAnsi="Calibri"/>
          <w:b/>
          <w:color w:val="525866"/>
          <w:sz w:val="22"/>
        </w:rPr>
        <w:t xml:space="preserve">Equity discipline: </w:t>
      </w:r>
      <w:r>
        <w:rPr>
          <w:rFonts w:ascii="Calibri" w:hAnsi="Calibri"/>
          <w:b/>
          <w:color w:val="30A46C"/>
          <w:sz w:val="22"/>
        </w:rPr>
        <w:t xml:space="preserve">HTO expects to stay out of equity markets through at least year-end 2027 (barring new M&amp;A), utilizing its $400M forward agreement. </w:t>
      </w:r>
      <w:r>
        <w:rPr>
          <w:rFonts w:ascii="Calibri" w:hAnsi="Calibri"/>
          <w:b/>
          <w:color w:val="525866"/>
          <w:sz w:val="22"/>
        </w:rPr>
        <w:t xml:space="preserve">Read-through for AWK: </w:t>
      </w:r>
      <w:r>
        <w:rPr>
          <w:rFonts w:ascii="Calibri" w:hAnsi="Calibri"/>
          <w:color w:val="525866"/>
          <w:sz w:val="22"/>
        </w:rPr>
        <w:t>AWK is settling its ~$1B equity forward in mid-2026 (Q2); dilution will be visible in Q2 share count but is already embedded in consensus.</w:t>
      </w:r>
    </w:p>
    <w:p>
      <w:pPr>
        <w:pStyle w:val="Heading3"/>
      </w:pPr>
      <w:r>
        <w:rPr>
          <w:rFonts w:ascii="Calibri" w:hAnsi="Calibri"/>
          <w:b/>
          <w:color w:val="3B4259"/>
          <w:sz w:val="24"/>
        </w:rPr>
        <w:t>WTRG (Essential Utilities) — Q1 2026 Earnings (Reported May 7, 2026)</w:t>
      </w:r>
    </w:p>
    <w:p>
      <w:r>
        <w:rPr>
          <w:rFonts w:ascii="Calibri" w:hAnsi="Calibri"/>
          <w:b/>
          <w:color w:val="525866"/>
          <w:sz w:val="22"/>
        </w:rPr>
        <w:t xml:space="preserve">Relevance: </w:t>
      </w:r>
      <w:r>
        <w:rPr>
          <w:rFonts w:ascii="Calibri" w:hAnsi="Calibri"/>
          <w:color w:val="525866"/>
          <w:sz w:val="22"/>
        </w:rPr>
        <w:t>WTRG is AWK's pending merger partner (expected close Q1 2027). Its Q1 2026 commentary is directly relevant to the regulatory and operational environment AWK operates in, particularly Pennsylvania, and provides a read-through on the AWK-WTRG merger regulatory progress.</w:t>
      </w:r>
    </w:p>
    <w:p>
      <w:pPr>
        <w:pStyle w:val="ListBullet"/>
        <w:ind w:left="360" w:hanging="360"/>
      </w:pPr>
      <w:r>
        <w:rPr>
          <w:rFonts w:ascii="Calibri" w:hAnsi="Calibri"/>
          <w:b/>
          <w:color w:val="525866"/>
          <w:sz w:val="22"/>
        </w:rPr>
        <w:t xml:space="preserve">Merger with AWK on track for Q1 2027 close: </w:t>
      </w:r>
      <w:r>
        <w:rPr>
          <w:rFonts w:ascii="Calibri" w:hAnsi="Calibri"/>
          <w:b/>
          <w:color w:val="30A46C"/>
          <w:sz w:val="22"/>
        </w:rPr>
        <w:t xml:space="preserve">WTRG confirmed the AWK merger is still on track to close by end of Q1 2027. Kentucky PSC approval was received (first regulatory green light). Pennsylvania and North Carolina public hearings were described as 'very successful' with few negative comments. Shareholders approved by 95% margin in February. </w:t>
      </w:r>
      <w:r>
        <w:rPr>
          <w:rFonts w:ascii="Calibri" w:hAnsi="Calibri"/>
          <w:b/>
          <w:color w:val="525866"/>
          <w:sz w:val="22"/>
        </w:rPr>
        <w:t xml:space="preserve">Read-through for AWK: </w:t>
      </w:r>
      <w:r>
        <w:rPr>
          <w:rFonts w:ascii="Calibri" w:hAnsi="Calibri"/>
          <w:color w:val="525866"/>
          <w:sz w:val="22"/>
        </w:rPr>
        <w:t>Merger regulatory process is proceeding as expected with no surprises — reduces overhang risk for AWK investors.</w:t>
      </w:r>
    </w:p>
    <w:p>
      <w:pPr>
        <w:pStyle w:val="ListBullet"/>
        <w:ind w:left="360" w:hanging="360"/>
      </w:pPr>
      <w:r>
        <w:rPr>
          <w:rFonts w:ascii="Calibri" w:hAnsi="Calibri"/>
          <w:b/>
          <w:color w:val="525866"/>
          <w:sz w:val="22"/>
        </w:rPr>
        <w:t xml:space="preserve">Pennsylvania regulatory environment — affordability focus: </w:t>
      </w:r>
      <w:r>
        <w:rPr>
          <w:rFonts w:ascii="Calibri" w:hAnsi="Calibri"/>
          <w:b/>
          <w:color w:val="E5484D"/>
          <w:sz w:val="22"/>
        </w:rPr>
        <w:t xml:space="preserve">WTRG CEO noted 'ongoing conversations with the Governor's team' on Pennsylvania affordability initiatives following Governor Shapiro's letter. For its filed Peoples gas case, WTRG is 'proceeding as though there's no change.' For a water case yet to file, WTRG is 'working through preparation as we digest this new information.' </w:t>
      </w:r>
      <w:r>
        <w:rPr>
          <w:rFonts w:ascii="Calibri" w:hAnsi="Calibri"/>
          <w:b/>
          <w:color w:val="525866"/>
          <w:sz w:val="22"/>
        </w:rPr>
        <w:t xml:space="preserve">Read-through for AWK: </w:t>
      </w:r>
      <w:r>
        <w:rPr>
          <w:rFonts w:ascii="Calibri" w:hAnsi="Calibri"/>
          <w:color w:val="525866"/>
          <w:sz w:val="22"/>
        </w:rPr>
        <w:t>Pennsylvania affordability scrutiny is a real regulatory dynamic. AWK's PA rate case was filed before the Governor's letter (same as WTRG's gas case), and the PUC approved $74.9M on July 16 — below the original request, consistent with affordability pressure. Management's commentary on the PA outcome will be closely watched.</w:t>
      </w:r>
    </w:p>
    <w:p>
      <w:pPr>
        <w:pStyle w:val="ListBullet"/>
        <w:ind w:left="360" w:hanging="360"/>
      </w:pPr>
      <w:r>
        <w:rPr>
          <w:rFonts w:ascii="Calibri" w:hAnsi="Calibri"/>
          <w:b/>
          <w:color w:val="525866"/>
          <w:sz w:val="22"/>
        </w:rPr>
        <w:t xml:space="preserve">PFAS investment pipeline robust: </w:t>
      </w:r>
      <w:r>
        <w:rPr>
          <w:rFonts w:ascii="Calibri" w:hAnsi="Calibri"/>
          <w:b/>
          <w:color w:val="30A46C"/>
          <w:sz w:val="22"/>
        </w:rPr>
        <w:t xml:space="preserve">WTRG reported 5 PFAS projects completed through Q1 2026, 45 under construction, and is on track for 106 PFAS project completions in 2026. $1.7B full-year CapEx target maintained. </w:t>
      </w:r>
      <w:r>
        <w:rPr>
          <w:rFonts w:ascii="Calibri" w:hAnsi="Calibri"/>
          <w:b/>
          <w:color w:val="525866"/>
          <w:sz w:val="22"/>
        </w:rPr>
        <w:t xml:space="preserve">Read-through for AWK: </w:t>
      </w:r>
      <w:r>
        <w:rPr>
          <w:rFonts w:ascii="Calibri" w:hAnsi="Calibri"/>
          <w:color w:val="525866"/>
          <w:sz w:val="22"/>
        </w:rPr>
        <w:t>PFAS investment is a multi-year tailwind for the entire sector; AWK's expanded 5-year CapEx plan ($19–$20B) is similarly driven by PFAS and lead compliance.</w:t>
      </w:r>
    </w:p>
    <w:p>
      <w:pPr>
        <w:pStyle w:val="ListBullet"/>
        <w:ind w:left="360" w:hanging="360"/>
      </w:pPr>
      <w:r>
        <w:rPr>
          <w:rFonts w:ascii="Calibri" w:hAnsi="Calibri"/>
          <w:b/>
          <w:color w:val="525866"/>
          <w:sz w:val="22"/>
        </w:rPr>
        <w:t xml:space="preserve">Regulatory recoveries tracking: </w:t>
      </w:r>
      <w:r>
        <w:rPr>
          <w:rFonts w:ascii="Calibri" w:hAnsi="Calibri"/>
          <w:b/>
          <w:color w:val="30A46C"/>
          <w:sz w:val="22"/>
        </w:rPr>
        <w:t xml:space="preserve">WTRG completed $15.1M in annualized regulatory recoveries YTD in 2026, with 5 water/wastewater cases pending for ~$102M in annualized increases. Several cases nearing completion with updates expected in August. </w:t>
      </w:r>
      <w:r>
        <w:rPr>
          <w:rFonts w:ascii="Calibri" w:hAnsi="Calibri"/>
          <w:b/>
          <w:color w:val="525866"/>
          <w:sz w:val="22"/>
        </w:rPr>
        <w:t xml:space="preserve">Read-through for AWK: </w:t>
      </w:r>
      <w:r>
        <w:rPr>
          <w:rFonts w:ascii="Calibri" w:hAnsi="Calibri"/>
          <w:color w:val="525866"/>
          <w:sz w:val="22"/>
        </w:rPr>
        <w:t>Broad regulatory recovery momentum across the sector supports AWK's pending NJ case and the Missouri filing.</w:t>
      </w:r>
    </w:p>
    <w:p>
      <w:pPr>
        <w:pStyle w:val="ListBullet"/>
        <w:ind w:left="360" w:hanging="360"/>
      </w:pPr>
      <w:r>
        <w:rPr>
          <w:rFonts w:ascii="Calibri" w:hAnsi="Calibri"/>
          <w:b/>
          <w:color w:val="525866"/>
          <w:sz w:val="22"/>
        </w:rPr>
        <w:t xml:space="preserve">Q1 2026 weather headwind — sector-wide: </w:t>
      </w:r>
      <w:r>
        <w:rPr>
          <w:rFonts w:ascii="Calibri" w:hAnsi="Calibri"/>
          <w:b/>
          <w:color w:val="E5484D"/>
          <w:sz w:val="22"/>
        </w:rPr>
        <w:t xml:space="preserve">WTRG cited extreme cold weather in January/February as a ~$3M incremental cost headwind (outside services + overtime). This impacted Q1 results but is not expected to recur. </w:t>
      </w:r>
      <w:r>
        <w:rPr>
          <w:rFonts w:ascii="Calibri" w:hAnsi="Calibri"/>
          <w:b/>
          <w:color w:val="525866"/>
          <w:sz w:val="22"/>
        </w:rPr>
        <w:t xml:space="preserve">Read-through for AWK: </w:t>
      </w:r>
      <w:r>
        <w:rPr>
          <w:rFonts w:ascii="Calibri" w:hAnsi="Calibri"/>
          <w:color w:val="525866"/>
          <w:sz w:val="22"/>
        </w:rPr>
        <w:t>AWK also cited Q1 as back-half weighted; weather was a sector-wide Q1 headwind that should not repeat in Q2.</w:t>
      </w:r>
    </w:p>
    <w:p>
      <w:pPr>
        <w:pStyle w:val="ListBullet"/>
        <w:ind w:left="360" w:hanging="360"/>
      </w:pPr>
      <w:r>
        <w:rPr>
          <w:rFonts w:ascii="Calibri" w:hAnsi="Calibri"/>
          <w:b/>
          <w:color w:val="525866"/>
          <w:sz w:val="22"/>
        </w:rPr>
        <w:t xml:space="preserve">Acquisition pipeline active: </w:t>
      </w:r>
      <w:r>
        <w:rPr>
          <w:rFonts w:ascii="Calibri" w:hAnsi="Calibri"/>
          <w:b/>
          <w:color w:val="30A46C"/>
          <w:sz w:val="22"/>
        </w:rPr>
        <w:t xml:space="preserve">WTRG has signed purchase agreements adding ~201,000 customers at ~$285M total purchase price (including DELCORA). Pipeline of potential municipal acquisitions stands at ~400,000 customers. </w:t>
      </w:r>
      <w:r>
        <w:rPr>
          <w:rFonts w:ascii="Calibri" w:hAnsi="Calibri"/>
          <w:b/>
          <w:color w:val="525866"/>
          <w:sz w:val="22"/>
        </w:rPr>
        <w:t xml:space="preserve">Read-through for AWK: </w:t>
      </w:r>
      <w:r>
        <w:rPr>
          <w:rFonts w:ascii="Calibri" w:hAnsi="Calibri"/>
          <w:color w:val="525866"/>
          <w:sz w:val="22"/>
        </w:rPr>
        <w:t>Municipal consolidation opportunity remains large across the sector; AWK's Nexus close and 105,000 connections under agreement are consistent with this trend.</w:t>
      </w:r>
    </w:p>
    <w:p>
      <w:pPr>
        <w:pStyle w:val="Heading3"/>
      </w:pPr>
      <w:r>
        <w:rPr>
          <w:rFonts w:ascii="Calibri" w:hAnsi="Calibri"/>
          <w:b/>
          <w:color w:val="3B4259"/>
          <w:sz w:val="24"/>
        </w:rPr>
        <w:t>AWR (American States Water) — Q1 2026 Earnings (Reported May 6, 2026)</w:t>
      </w:r>
    </w:p>
    <w:p>
      <w:r>
        <w:rPr>
          <w:rFonts w:ascii="Calibri" w:hAnsi="Calibri"/>
          <w:b/>
          <w:color w:val="525866"/>
          <w:sz w:val="22"/>
        </w:rPr>
        <w:t xml:space="preserve">Relevance: </w:t>
      </w:r>
      <w:r>
        <w:rPr>
          <w:rFonts w:ascii="Calibri" w:hAnsi="Calibri"/>
          <w:color w:val="525866"/>
          <w:sz w:val="22"/>
        </w:rPr>
        <w:t>AWR is a smaller pure-play water utility with California and military contracted services exposure. Its Q1 2026 commentary provides a read-through on California regulatory dynamics and the broader water utility operating environment.</w:t>
      </w:r>
    </w:p>
    <w:p>
      <w:pPr>
        <w:pStyle w:val="ListBullet"/>
        <w:ind w:left="360" w:hanging="360"/>
      </w:pPr>
      <w:r>
        <w:rPr>
          <w:rFonts w:ascii="Calibri" w:hAnsi="Calibri"/>
          <w:b/>
          <w:color w:val="525866"/>
          <w:sz w:val="22"/>
        </w:rPr>
        <w:t xml:space="preserve">Rate case execution driving earnings: </w:t>
      </w:r>
      <w:r>
        <w:rPr>
          <w:rFonts w:ascii="Calibri" w:hAnsi="Calibri"/>
          <w:b/>
          <w:color w:val="30A46C"/>
          <w:sz w:val="22"/>
        </w:rPr>
        <w:t xml:space="preserve">AWR reported Q1 2026 EPS of $0.76 (+8.6% YoY), with new 2026 water rates as the primary driver. Golden State Water's adopted average rate base grew at an 11.3% CAGR from 2021 to 2026 ($980M to $1.67B). </w:t>
      </w:r>
      <w:r>
        <w:rPr>
          <w:rFonts w:ascii="Calibri" w:hAnsi="Calibri"/>
          <w:b/>
          <w:color w:val="525866"/>
          <w:sz w:val="22"/>
        </w:rPr>
        <w:t xml:space="preserve">Read-through for AWK: </w:t>
      </w:r>
      <w:r>
        <w:rPr>
          <w:rFonts w:ascii="Calibri" w:hAnsi="Calibri"/>
          <w:color w:val="525866"/>
          <w:sz w:val="22"/>
        </w:rPr>
        <w:t>Rate base growth translating into earnings is the core AWK thesis; AWR's execution validates the model.</w:t>
      </w:r>
    </w:p>
    <w:p>
      <w:pPr>
        <w:pStyle w:val="ListBullet"/>
        <w:ind w:left="360" w:hanging="360"/>
      </w:pPr>
      <w:r>
        <w:rPr>
          <w:rFonts w:ascii="Calibri" w:hAnsi="Calibri"/>
          <w:b/>
          <w:color w:val="525866"/>
          <w:sz w:val="22"/>
        </w:rPr>
        <w:t xml:space="preserve">California MRAM transition introduces earnings volatility: </w:t>
      </w:r>
      <w:r>
        <w:rPr>
          <w:rFonts w:ascii="Calibri" w:hAnsi="Calibri"/>
          <w:b/>
          <w:color w:val="E5484D"/>
          <w:sz w:val="22"/>
        </w:rPr>
        <w:t xml:space="preserve">AWR noted that the CPUC's January 2025 decision requiring transition from full revenue decoupling to a modified rate adjustment mechanism (MRAM) introduces potential future earnings volatility from water consumption fluctuations and supply source mix changes. Q1 2026 was impacted by more purchased water than prior year due to wells temporarily offline. </w:t>
      </w:r>
      <w:r>
        <w:rPr>
          <w:rFonts w:ascii="Calibri" w:hAnsi="Calibri"/>
          <w:b/>
          <w:color w:val="525866"/>
          <w:sz w:val="22"/>
        </w:rPr>
        <w:t xml:space="preserve">Read-through for AWK: </w:t>
      </w:r>
      <w:r>
        <w:rPr>
          <w:rFonts w:ascii="Calibri" w:hAnsi="Calibri"/>
          <w:color w:val="525866"/>
          <w:sz w:val="22"/>
        </w:rPr>
        <w:t>AWK has California exposure but is more geographically diversified; this is a California-specific regulatory risk that is less material for AWK than for AWR.</w:t>
      </w:r>
    </w:p>
    <w:p>
      <w:pPr>
        <w:pStyle w:val="ListBullet"/>
        <w:ind w:left="360" w:hanging="360"/>
      </w:pPr>
      <w:r>
        <w:rPr>
          <w:rFonts w:ascii="Calibri" w:hAnsi="Calibri"/>
          <w:b/>
          <w:color w:val="525866"/>
          <w:sz w:val="22"/>
        </w:rPr>
        <w:t xml:space="preserve">Military contracted services (ASUS) strong: </w:t>
      </w:r>
      <w:r>
        <w:rPr>
          <w:rFonts w:ascii="Calibri" w:hAnsi="Calibri"/>
          <w:b/>
          <w:color w:val="30A46C"/>
          <w:sz w:val="22"/>
        </w:rPr>
        <w:t xml:space="preserve">AWR's ASUS segment contributed $0.15/share in Q1 (+$0.02 YoY) driven by higher construction activities. Full-year ASUS guidance of $0.63–$0.67/share maintained. </w:t>
      </w:r>
      <w:r>
        <w:rPr>
          <w:rFonts w:ascii="Calibri" w:hAnsi="Calibri"/>
          <w:b/>
          <w:color w:val="525866"/>
          <w:sz w:val="22"/>
        </w:rPr>
        <w:t xml:space="preserve">Read-through for AWK: </w:t>
      </w:r>
      <w:r>
        <w:rPr>
          <w:rFonts w:ascii="Calibri" w:hAnsi="Calibri"/>
          <w:color w:val="525866"/>
          <w:sz w:val="22"/>
        </w:rPr>
        <w:t>AWK does not have a military services segment; limited direct read-through.</w:t>
      </w:r>
    </w:p>
    <w:p>
      <w:pPr>
        <w:pStyle w:val="ListBullet"/>
        <w:ind w:left="360" w:hanging="360"/>
      </w:pPr>
      <w:r>
        <w:rPr>
          <w:rFonts w:ascii="Calibri" w:hAnsi="Calibri"/>
          <w:b/>
          <w:color w:val="525866"/>
          <w:sz w:val="22"/>
        </w:rPr>
        <w:t xml:space="preserve">Next water GRC filing by July 1, 2026: </w:t>
      </w:r>
      <w:r>
        <w:rPr>
          <w:rFonts w:ascii="Calibri" w:hAnsi="Calibri"/>
          <w:b/>
          <w:color w:val="30A46C"/>
          <w:sz w:val="22"/>
        </w:rPr>
        <w:t xml:space="preserve">AWR is filing its next California water GRC covering 2028–2030 by July 1, 2026. Cost of capital application deferred another year (filing now May 2027, effective January 2028). Current authorized ROE of 10.06% continues through December 31, 2027. </w:t>
      </w:r>
      <w:r>
        <w:rPr>
          <w:rFonts w:ascii="Calibri" w:hAnsi="Calibri"/>
          <w:b/>
          <w:color w:val="525866"/>
          <w:sz w:val="22"/>
        </w:rPr>
        <w:t xml:space="preserve">Read-through for AWK: </w:t>
      </w:r>
      <w:r>
        <w:rPr>
          <w:rFonts w:ascii="Calibri" w:hAnsi="Calibri"/>
          <w:color w:val="525866"/>
          <w:sz w:val="22"/>
        </w:rPr>
        <w:t>California regulatory calendar is active; AWK's California rate case is also pending. Stable authorized ROE environment is constructive for the sector.</w:t>
      </w:r>
    </w:p>
    <w:p>
      <w:pPr>
        <w:pStyle w:val="ListBullet"/>
        <w:ind w:left="360" w:hanging="360"/>
      </w:pPr>
      <w:r>
        <w:rPr>
          <w:rFonts w:ascii="Calibri" w:hAnsi="Calibri"/>
          <w:b/>
          <w:color w:val="525866"/>
          <w:sz w:val="22"/>
        </w:rPr>
        <w:t xml:space="preserve">CapEx on track: </w:t>
      </w:r>
      <w:r>
        <w:rPr>
          <w:rFonts w:ascii="Calibri" w:hAnsi="Calibri"/>
          <w:b/>
          <w:color w:val="30A46C"/>
          <w:sz w:val="22"/>
        </w:rPr>
        <w:t xml:space="preserve">AWR projects $185–$225M in company-funded CapEx for 2026, with $42.1M invested in Q1. Regulated utilities on pace to meet full-year target. </w:t>
      </w:r>
      <w:r>
        <w:rPr>
          <w:rFonts w:ascii="Calibri" w:hAnsi="Calibri"/>
          <w:b/>
          <w:color w:val="525866"/>
          <w:sz w:val="22"/>
        </w:rPr>
        <w:t xml:space="preserve">Read-through for AWK: </w:t>
      </w:r>
      <w:r>
        <w:rPr>
          <w:rFonts w:ascii="Calibri" w:hAnsi="Calibri"/>
          <w:color w:val="525866"/>
          <w:sz w:val="22"/>
        </w:rPr>
        <w:t>Sector-wide CapEx execution is solid; AWK's much larger $3.6B+ FY 2026 CapEx plan is tracking to consensus.</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Pennsylvania PUC rate order (July 16) is the most important post-Q1 development — it confirms the H2 revenue step-up but at $74.9M annual revenue, which may be below original expectations and will be a key topic on the call. The Missouri rate filing and Nexus close are incremental positives for the long-term growth narrative.</w:t>
      </w:r>
    </w:p>
    <w:p>
      <w:pPr>
        <w:pStyle w:val="ListBullet"/>
        <w:ind w:left="360" w:hanging="360"/>
      </w:pPr>
      <w:r>
        <w:rPr>
          <w:rFonts w:ascii="Calibri" w:hAnsi="Calibri"/>
          <w:b/>
          <w:color w:val="525866"/>
          <w:sz w:val="22"/>
        </w:rPr>
        <w:t xml:space="preserve">July 16, 2026 — Pennsylvania PUC approves rate case: </w:t>
      </w:r>
      <w:r>
        <w:rPr>
          <w:rFonts w:ascii="Calibri" w:hAnsi="Calibri"/>
          <w:color w:val="525866"/>
          <w:sz w:val="22"/>
        </w:rPr>
        <w:t xml:space="preserve">The PUC authorized an annual revenue increase of approximately </w:t>
      </w:r>
      <w:r>
        <w:rPr>
          <w:rFonts w:ascii="Calibri" w:hAnsi="Calibri"/>
          <w:b/>
          <w:color w:val="525866"/>
          <w:sz w:val="22"/>
        </w:rPr>
        <w:t>$74.9M</w:t>
      </w:r>
      <w:r>
        <w:rPr>
          <w:rFonts w:ascii="Calibri" w:hAnsi="Calibri"/>
          <w:color w:val="525866"/>
          <w:sz w:val="22"/>
        </w:rPr>
        <w:t xml:space="preserve"> for Pennsylvania American Water, supporting infrastructure investments including PFAS remediation, aging pipe replacement, and lead service line removal. PUC Chairman DeFrank specifically commended AWK's role in assisting distressed water systems. New rates are expected effective August 2026. </w:t>
      </w:r>
      <w:r>
        <w:rPr>
          <w:rFonts w:ascii="Calibri" w:hAnsi="Calibri"/>
          <w:b/>
          <w:color w:val="525866"/>
          <w:sz w:val="22"/>
        </w:rPr>
        <w:t xml:space="preserve">Implication: </w:t>
      </w:r>
      <w:r>
        <w:rPr>
          <w:rFonts w:ascii="Calibri" w:hAnsi="Calibri"/>
          <w:color w:val="525866"/>
          <w:sz w:val="22"/>
        </w:rPr>
        <w:t>Confirms the H2 earnings step-up management guided to, but the approved amount may be below the original request — management's commentary on the gap and its FY 2026 EPS impact will be critical.</w:t>
      </w:r>
    </w:p>
    <w:p>
      <w:pPr>
        <w:pStyle w:val="ListBullet"/>
        <w:ind w:left="360" w:hanging="360"/>
      </w:pPr>
      <w:r>
        <w:rPr>
          <w:rFonts w:ascii="Calibri" w:hAnsi="Calibri"/>
          <w:b/>
          <w:color w:val="525866"/>
          <w:sz w:val="22"/>
        </w:rPr>
        <w:t xml:space="preserve">July 1, 2026 — Missouri American Water files $179M rate increase request: </w:t>
      </w:r>
      <w:r>
        <w:rPr>
          <w:rFonts w:ascii="Calibri" w:hAnsi="Calibri"/>
          <w:color w:val="525866"/>
          <w:sz w:val="22"/>
        </w:rPr>
        <w:t xml:space="preserve">Missouri American Water filed with the MoPSC for new rates supporting ~$1.6B in water and wastewater investments from June 2025 through May 2028. The review process can take up to 11 months; new rates could take effect June 2027. </w:t>
      </w:r>
      <w:r>
        <w:rPr>
          <w:rFonts w:ascii="Calibri" w:hAnsi="Calibri"/>
          <w:b/>
          <w:color w:val="525866"/>
          <w:sz w:val="22"/>
        </w:rPr>
        <w:t xml:space="preserve">Implication: </w:t>
      </w:r>
      <w:r>
        <w:rPr>
          <w:rFonts w:ascii="Calibri" w:hAnsi="Calibri"/>
          <w:color w:val="525866"/>
          <w:sz w:val="22"/>
        </w:rPr>
        <w:t>Supports the long-term rate base growth narrative and demonstrates continued regulatory engagement across AWK's footprint. Not a near-term earnings catalyst.</w:t>
      </w:r>
    </w:p>
    <w:p>
      <w:pPr>
        <w:pStyle w:val="ListBullet"/>
        <w:ind w:left="360" w:hanging="360"/>
      </w:pPr>
      <w:r>
        <w:rPr>
          <w:rFonts w:ascii="Calibri" w:hAnsi="Calibri"/>
          <w:b/>
          <w:color w:val="525866"/>
          <w:sz w:val="22"/>
        </w:rPr>
        <w:t xml:space="preserve">June 30, 2026 — Nexus Water Group acquisition closes: </w:t>
      </w:r>
      <w:r>
        <w:rPr>
          <w:rFonts w:ascii="Calibri" w:hAnsi="Calibri"/>
          <w:color w:val="525866"/>
          <w:sz w:val="22"/>
        </w:rPr>
        <w:t xml:space="preserve">AWK guided on the Q1 call that the Nexus close was expected by June 30 following 7 of 8 state approvals. The close adds </w:t>
      </w:r>
      <w:r>
        <w:rPr>
          <w:rFonts w:ascii="Calibri" w:hAnsi="Calibri"/>
          <w:b/>
          <w:color w:val="525866"/>
          <w:sz w:val="22"/>
        </w:rPr>
        <w:t>105,000 customer connections</w:t>
      </w:r>
      <w:r>
        <w:rPr>
          <w:rFonts w:ascii="Calibri" w:hAnsi="Calibri"/>
          <w:color w:val="525866"/>
          <w:sz w:val="22"/>
        </w:rPr>
        <w:t xml:space="preserve"> and ~$565M in deal value to AWK's footprint. </w:t>
      </w:r>
      <w:r>
        <w:rPr>
          <w:rFonts w:ascii="Calibri" w:hAnsi="Calibri"/>
          <w:b/>
          <w:color w:val="525866"/>
          <w:sz w:val="22"/>
        </w:rPr>
        <w:t xml:space="preserve">Implication: </w:t>
      </w:r>
      <w:r>
        <w:rPr>
          <w:rFonts w:ascii="Calibri" w:hAnsi="Calibri"/>
          <w:color w:val="525866"/>
          <w:sz w:val="22"/>
        </w:rPr>
        <w:t>Customer additions and initial revenue contribution from Nexus will appear in Q2 results for the first time; watch for management commentary on integration progress and accretion timeline.</w:t>
      </w:r>
    </w:p>
    <w:p>
      <w:pPr>
        <w:pStyle w:val="ListBullet"/>
        <w:ind w:left="360" w:hanging="360"/>
      </w:pPr>
      <w:r>
        <w:rPr>
          <w:rFonts w:ascii="Calibri" w:hAnsi="Calibri"/>
          <w:b/>
          <w:color w:val="525866"/>
          <w:sz w:val="22"/>
        </w:rPr>
        <w:t xml:space="preserve">May 15, 2026 — Kentucky American Water files $17.7M rate increase request: </w:t>
      </w:r>
      <w:r>
        <w:rPr>
          <w:rFonts w:ascii="Calibri" w:hAnsi="Calibri"/>
          <w:color w:val="525866"/>
          <w:sz w:val="22"/>
        </w:rPr>
        <w:t xml:space="preserve">Kentucky American Water filed for a $17.7M annual revenue increase with the Kentucky PSC. </w:t>
      </w:r>
      <w:r>
        <w:rPr>
          <w:rFonts w:ascii="Calibri" w:hAnsi="Calibri"/>
          <w:b/>
          <w:color w:val="525866"/>
          <w:sz w:val="22"/>
        </w:rPr>
        <w:t xml:space="preserve">Implication: </w:t>
      </w:r>
      <w:r>
        <w:rPr>
          <w:rFonts w:ascii="Calibri" w:hAnsi="Calibri"/>
          <w:color w:val="525866"/>
          <w:sz w:val="22"/>
        </w:rPr>
        <w:t>Incremental rate base recovery in a state that recently approved the AWK-WTRG merger; supports the multi-state regulatory execution story.</w:t>
      </w:r>
    </w:p>
    <w:p>
      <w:pPr>
        <w:pStyle w:val="ListBullet"/>
        <w:ind w:left="360" w:hanging="360"/>
      </w:pPr>
      <w:r>
        <w:rPr>
          <w:rFonts w:ascii="Calibri" w:hAnsi="Calibri"/>
          <w:b/>
          <w:color w:val="525866"/>
          <w:sz w:val="22"/>
        </w:rPr>
        <w:t xml:space="preserve">May 15, 2026 — Amended equity compensation plan approved at annual meeting: </w:t>
      </w:r>
      <w:r>
        <w:rPr>
          <w:rFonts w:ascii="Calibri" w:hAnsi="Calibri"/>
          <w:color w:val="525866"/>
          <w:sz w:val="22"/>
        </w:rPr>
        <w:t xml:space="preserve">AWK's Amended and Restated 2017 Omnibus Equity Compensation Plan was approved, maintaining the same 7.18M share limit. </w:t>
      </w:r>
      <w:r>
        <w:rPr>
          <w:rFonts w:ascii="Calibri" w:hAnsi="Calibri"/>
          <w:b/>
          <w:color w:val="525866"/>
          <w:sz w:val="22"/>
        </w:rPr>
        <w:t xml:space="preserve">Implication: </w:t>
      </w:r>
      <w:r>
        <w:rPr>
          <w:rFonts w:ascii="Calibri" w:hAnsi="Calibri"/>
          <w:color w:val="525866"/>
          <w:sz w:val="22"/>
        </w:rPr>
        <w:t>Routine governance item; no material financial impact.</w:t>
      </w:r>
    </w:p>
    <w:p>
      <w:pPr>
        <w:pStyle w:val="ListBullet"/>
        <w:ind w:left="360" w:hanging="360"/>
      </w:pPr>
      <w:r>
        <w:rPr>
          <w:rFonts w:ascii="Calibri" w:hAnsi="Calibri"/>
          <w:b/>
          <w:color w:val="525866"/>
          <w:sz w:val="22"/>
        </w:rPr>
        <w:t xml:space="preserve">April 29, 2026 — Q1 2026 earnings: EPS miss, guidance affirmed, dividend raised: </w:t>
      </w:r>
      <w:r>
        <w:rPr>
          <w:rFonts w:ascii="Calibri" w:hAnsi="Calibri"/>
          <w:color w:val="525866"/>
          <w:sz w:val="22"/>
        </w:rPr>
        <w:t xml:space="preserve">AWK reported Q1 2026 adjusted EPS of $1.01 vs. consensus of ~$1.09 (miss), but reaffirmed FY 2026 guidance of $6.02–$6.12 and raised the quarterly dividend 8.2% to $0.8950/share. Management attributed the miss to back-half earnings weighting and disclosed an ~$84M CAMT cash refund benefit. </w:t>
      </w:r>
      <w:r>
        <w:rPr>
          <w:rFonts w:ascii="Calibri" w:hAnsi="Calibri"/>
          <w:b/>
          <w:color w:val="525866"/>
          <w:sz w:val="22"/>
        </w:rPr>
        <w:t xml:space="preserve">Implication: </w:t>
      </w:r>
      <w:r>
        <w:rPr>
          <w:rFonts w:ascii="Calibri" w:hAnsi="Calibri"/>
          <w:color w:val="525866"/>
          <w:sz w:val="22"/>
        </w:rPr>
        <w:t>The Q1 miss set a lower bar for Q2; the guidance reaffirmation and dividend raise were the key positives that stabilized the stock.</w:t>
      </w:r>
    </w:p>
    <w:p>
      <w:pPr>
        <w:pStyle w:val="ListBullet"/>
        <w:ind w:left="360" w:hanging="360"/>
      </w:pPr>
      <w:r>
        <w:rPr>
          <w:rFonts w:ascii="Calibri" w:hAnsi="Calibri"/>
          <w:b/>
          <w:color w:val="525866"/>
          <w:sz w:val="22"/>
        </w:rPr>
        <w:t xml:space="preserve">Ongoing — Essential Utilities (WTRG) merger regulatory process: </w:t>
      </w:r>
      <w:r>
        <w:rPr>
          <w:rFonts w:ascii="Calibri" w:hAnsi="Calibri"/>
          <w:color w:val="525866"/>
          <w:sz w:val="22"/>
        </w:rPr>
        <w:t xml:space="preserve">Kentucky PSC approval received (first of seven required states). Pennsylvania and North Carolina public hearings completed successfully. Merger remains on track for Q1 2027 close. </w:t>
      </w:r>
      <w:r>
        <w:rPr>
          <w:rFonts w:ascii="Calibri" w:hAnsi="Calibri"/>
          <w:b/>
          <w:color w:val="525866"/>
          <w:sz w:val="22"/>
        </w:rPr>
        <w:t xml:space="preserve">Implication: </w:t>
      </w:r>
      <w:r>
        <w:rPr>
          <w:rFonts w:ascii="Calibri" w:hAnsi="Calibri"/>
          <w:color w:val="525866"/>
          <w:sz w:val="22"/>
        </w:rPr>
        <w:t>Regulatory progress is tracking to plan; each additional state approval reduces merger completion risk and is a positive catalyst for AWK shares.</w:t>
      </w:r>
    </w:p>
    <w:p>
      <w:pPr>
        <w:pStyle w:val="ListBullet"/>
        <w:ind w:left="360" w:hanging="360"/>
      </w:pPr>
      <w:r>
        <w:rPr>
          <w:rFonts w:ascii="Calibri" w:hAnsi="Calibri"/>
          <w:b/>
          <w:color w:val="525866"/>
          <w:sz w:val="22"/>
        </w:rPr>
        <w:t xml:space="preserve">Ongoing — PFAS settlements: </w:t>
      </w:r>
      <w:r>
        <w:rPr>
          <w:rFonts w:ascii="Calibri" w:hAnsi="Calibri"/>
          <w:color w:val="525866"/>
          <w:sz w:val="22"/>
        </w:rPr>
        <w:t xml:space="preserve">AWK secured approximately </w:t>
      </w:r>
      <w:r>
        <w:rPr>
          <w:rFonts w:ascii="Calibri" w:hAnsi="Calibri"/>
          <w:b/>
          <w:color w:val="525866"/>
          <w:sz w:val="22"/>
        </w:rPr>
        <w:t>$185M in net payments from PFAS manufacturers</w:t>
      </w:r>
      <w:r>
        <w:rPr>
          <w:rFonts w:ascii="Calibri" w:hAnsi="Calibri"/>
          <w:color w:val="525866"/>
          <w:sz w:val="22"/>
        </w:rPr>
        <w:t xml:space="preserve"> to be passed on to customers or offset remediation costs. </w:t>
      </w:r>
      <w:r>
        <w:rPr>
          <w:rFonts w:ascii="Calibri" w:hAnsi="Calibri"/>
          <w:b/>
          <w:color w:val="525866"/>
          <w:sz w:val="22"/>
        </w:rPr>
        <w:t xml:space="preserve">Implication: </w:t>
      </w:r>
      <w:r>
        <w:rPr>
          <w:rFonts w:ascii="Calibri" w:hAnsi="Calibri"/>
          <w:color w:val="525866"/>
          <w:sz w:val="22"/>
        </w:rPr>
        <w:t>Reduces the net cost of PFAS compliance and supports the affordability narrative with regulators.</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No open-market buys or sells by executives or directors since the Q1 earnings print. The only Form 4 activity in the period was routine annual equity compensation grants to all nine non-employee directors on May 13, 2026 — no discretionary trading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Edwards, Jeffrey 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Annual director equity compensation; not a discretionary trade.</w:t>
            </w:r>
          </w:p>
        </w:tc>
      </w:tr>
      <w:tr>
        <w:tc>
          <w:tcPr>
            <w:tcW w:type="dxa" w:w="1440"/>
          </w:tcPr>
          <w:p>
            <w:r>
              <w:rPr>
                <w:rFonts w:ascii="Calibri" w:hAnsi="Calibri"/>
                <w:sz w:val="22"/>
              </w:rPr>
              <w:t>Grow, Lisa 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Annual director equity compensation; not a discretionary trade.</w:t>
            </w:r>
          </w:p>
        </w:tc>
      </w:tr>
      <w:tr>
        <w:tc>
          <w:tcPr>
            <w:tcW w:type="dxa" w:w="1440"/>
          </w:tcPr>
          <w:p>
            <w:r>
              <w:rPr>
                <w:rFonts w:ascii="Calibri" w:hAnsi="Calibri"/>
                <w:sz w:val="22"/>
              </w:rPr>
              <w:t>Havanec, Laurie P.</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Annual director equity compensation; not a discretionary trade.</w:t>
            </w:r>
          </w:p>
        </w:tc>
      </w:tr>
      <w:tr>
        <w:tc>
          <w:tcPr>
            <w:tcW w:type="dxa" w:w="1440"/>
          </w:tcPr>
          <w:p>
            <w:r>
              <w:rPr>
                <w:rFonts w:ascii="Calibri" w:hAnsi="Calibri"/>
                <w:sz w:val="22"/>
              </w:rPr>
              <w:t>Johnson, Julia L.</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Annual director equity compensation; not a discretionary trade.</w:t>
            </w:r>
          </w:p>
        </w:tc>
      </w:tr>
      <w:tr>
        <w:tc>
          <w:tcPr>
            <w:tcW w:type="dxa" w:w="1440"/>
          </w:tcPr>
          <w:p>
            <w:r>
              <w:rPr>
                <w:rFonts w:ascii="Calibri" w:hAnsi="Calibri"/>
                <w:sz w:val="22"/>
              </w:rPr>
              <w:t>Kampling, Patricia L.</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Annual director equity compensation; not a discretionary trade.</w:t>
            </w:r>
          </w:p>
        </w:tc>
      </w:tr>
      <w:tr>
        <w:tc>
          <w:tcPr>
            <w:tcW w:type="dxa" w:w="1440"/>
          </w:tcPr>
          <w:p>
            <w:r>
              <w:rPr>
                <w:rFonts w:ascii="Calibri" w:hAnsi="Calibri"/>
                <w:sz w:val="22"/>
              </w:rPr>
              <w:t>Kurz, Karl F.</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2,159</w:t>
            </w:r>
          </w:p>
        </w:tc>
        <w:tc>
          <w:tcPr>
            <w:tcW w:type="dxa" w:w="1440"/>
          </w:tcPr>
          <w:p>
            <w:r>
              <w:rPr>
                <w:rFonts w:ascii="Calibri" w:hAnsi="Calibri"/>
                <w:sz w:val="22"/>
              </w:rPr>
              <w:t>May 13, 2026</w:t>
            </w:r>
          </w:p>
        </w:tc>
        <w:tc>
          <w:tcPr>
            <w:tcW w:type="dxa" w:w="1440"/>
          </w:tcPr>
          <w:p>
            <w:r>
              <w:rPr>
                <w:rFonts w:ascii="Calibri" w:hAnsi="Calibri"/>
                <w:sz w:val="22"/>
              </w:rPr>
              <w:t>Annual director equity compensation (higher grant); not a discretionary trade.</w:t>
            </w:r>
          </w:p>
        </w:tc>
      </w:tr>
      <w:tr>
        <w:tc>
          <w:tcPr>
            <w:tcW w:type="dxa" w:w="1440"/>
          </w:tcPr>
          <w:p>
            <w:r>
              <w:rPr>
                <w:rFonts w:ascii="Calibri" w:hAnsi="Calibri"/>
                <w:sz w:val="22"/>
              </w:rPr>
              <w:t>Marberry, Michael</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Annual director equity compensation; not a discretionary trade.</w:t>
            </w:r>
          </w:p>
        </w:tc>
      </w:tr>
      <w:tr>
        <w:tc>
          <w:tcPr>
            <w:tcW w:type="dxa" w:w="1440"/>
          </w:tcPr>
          <w:p>
            <w:r>
              <w:rPr>
                <w:rFonts w:ascii="Calibri" w:hAnsi="Calibri"/>
                <w:sz w:val="22"/>
              </w:rPr>
              <w:t>McGuigan, Stuart M.</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Annual director equity compensation; not a discretionary trade.</w:t>
            </w:r>
          </w:p>
        </w:tc>
      </w:tr>
      <w:tr>
        <w:tc>
          <w:tcPr>
            <w:tcW w:type="dxa" w:w="1440"/>
          </w:tcPr>
          <w:p>
            <w:r>
              <w:rPr>
                <w:rFonts w:ascii="Calibri" w:hAnsi="Calibri"/>
                <w:sz w:val="22"/>
              </w:rPr>
              <w:t>Nathoo, Raffiq</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Annual director equity compensation; not a discretionary trade.</w:t>
            </w:r>
          </w:p>
        </w:tc>
      </w:tr>
    </w:tbl>
    <w:p>
      <w:r>
        <w:rPr>
          <w:rFonts w:ascii="Calibri" w:hAnsi="Calibri"/>
          <w:i/>
          <w:color w:val="525866"/>
          <w:sz w:val="22"/>
        </w:rPr>
        <w:t>All Form 4 activity since the Q1 2026 earnings print consists exclusively of routine annual equity compensation grants (transaction code A — acquisition/grant) to non-employee directors on May 13, 2026. There are no open-market purchases (code P) or sales (code S) by any executive officer or director in the period. The absence of discretionary insider selling ahead of the print is a mild positive signal; the absence of open-market buying is neutral given the grant-heavy nature of director compensation at regulated utilities. No 10b5-1 plan initiations were identified in the period.</w:t>
      </w:r>
    </w:p>
    <w:p>
      <w:r>
        <w:rPr>
          <w:rFonts w:ascii="Calibri" w:hAnsi="Calibri"/>
          <w:i/>
          <w:color w:val="525866"/>
          <w:sz w:val="22"/>
        </w:rPr>
        <w:t>Source: SEC Form 4 Filings Database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