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American Water Works (AWK)</w:t>
      </w:r>
    </w:p>
    <w:p>
      <w:pPr>
        <w:pStyle w:val="Heading2"/>
      </w:pPr>
      <w:r>
        <w:rPr>
          <w:rFonts w:ascii="Calibri" w:hAnsi="Calibri"/>
          <w:b/>
          <w:color w:val="3B4259"/>
          <w:sz w:val="28"/>
        </w:rPr>
        <w:t>Q2 2026 Earnings Preview</w:t>
      </w:r>
    </w:p>
    <w:p>
      <w:r>
        <w:rPr>
          <w:rFonts w:ascii="Calibri" w:hAnsi="Calibri"/>
          <w:b/>
          <w:color w:val="525866"/>
          <w:sz w:val="22"/>
        </w:rPr>
        <w:t xml:space="preserve">Earnings Date: </w:t>
      </w:r>
      <w:r>
        <w:rPr>
          <w:rFonts w:ascii="Calibri" w:hAnsi="Calibri"/>
          <w:color w:val="525866"/>
          <w:sz w:val="22"/>
        </w:rPr>
        <w:t xml:space="preserve">July 30, 2026  </w:t>
      </w:r>
      <w:r>
        <w:rPr>
          <w:rFonts w:ascii="Calibri" w:hAnsi="Calibri"/>
          <w:b/>
          <w:color w:val="525866"/>
          <w:sz w:val="22"/>
        </w:rPr>
        <w:t xml:space="preserve">  |  Prepared: </w:t>
      </w:r>
      <w:r>
        <w:rPr>
          <w:rFonts w:ascii="Calibri" w:hAnsi="Calibri"/>
          <w:color w:val="525866"/>
          <w:sz w:val="22"/>
        </w:rPr>
        <w:t xml:space="preserve">July 28, 2026  </w:t>
      </w:r>
      <w:r>
        <w:rPr>
          <w:rFonts w:ascii="Calibri" w:hAnsi="Calibri"/>
          <w:b/>
          <w:color w:val="525866"/>
          <w:sz w:val="22"/>
        </w:rPr>
        <w:t xml:space="preserve">  |  Reporting Period: </w:t>
      </w:r>
      <w:r>
        <w:rPr>
          <w:rFonts w:ascii="Calibri" w:hAnsi="Calibri"/>
          <w:color w:val="525866"/>
          <w:sz w:val="22"/>
        </w:rPr>
        <w:t>Q2 2026 (quarter ended June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modestly constructive — consensus has drifted lower since Q1 (2Q26 EPS estimate down ~5% from post-Q1 baseline), creating a low bar that management's back-half earnings weighting narrative should help clear, with the Pennsylvania rate case approval the single biggest swing factor.</w:t>
      </w:r>
    </w:p>
    <w:p>
      <w:r>
        <w:rPr>
          <w:rFonts w:ascii="Calibri" w:hAnsi="Calibri"/>
          <w:color w:val="525866"/>
          <w:sz w:val="22"/>
        </w:rPr>
        <w:t xml:space="preserve">Heading into Q2 2026, AWK faces a </w:t>
      </w:r>
      <w:r>
        <w:rPr>
          <w:rFonts w:ascii="Calibri" w:hAnsi="Calibri"/>
          <w:b/>
          <w:color w:val="525866"/>
          <w:sz w:val="22"/>
        </w:rPr>
        <w:t>manageable consensus bar</w:t>
      </w:r>
      <w:r>
        <w:rPr>
          <w:rFonts w:ascii="Calibri" w:hAnsi="Calibri"/>
          <w:color w:val="525866"/>
          <w:sz w:val="22"/>
        </w:rPr>
        <w:t xml:space="preserve"> after sell-side estimates for the quarter have been revised down roughly 5% since the Q1 print (from ~$1.63 to ~$1.54 per share), reflecting the company's own guidance that the majority of 2026 EPS growth is back-half weighted as key state rate increases — most importantly Pennsylvania (~$74.9M annual revenue increase approved July 16) and New Jersey — take effect in Q3. Management's tone on the Q1 call was </w:t>
      </w:r>
      <w:r>
        <w:rPr>
          <w:rFonts w:ascii="Calibri" w:hAnsi="Calibri"/>
          <w:b/>
          <w:color w:val="525866"/>
          <w:sz w:val="22"/>
        </w:rPr>
        <w:t>confident and unchanged</w:t>
      </w:r>
      <w:r>
        <w:rPr>
          <w:rFonts w:ascii="Calibri" w:hAnsi="Calibri"/>
          <w:color w:val="525866"/>
          <w:sz w:val="22"/>
        </w:rPr>
        <w:t xml:space="preserve">: full-year 2026 adjusted EPS guidance of $6.02–$6.12 was reaffirmed, the quarterly dividend was raised 8.2%, and the long-term 7–9% EPS/dividend growth target was maintained. Estimate revisions have tracked guidance directionally — full-year 2026 consensus sits at ~$6.09, essentially in line with the guidance midpoint — suggesting no meaningful divergence risk. The stock has </w:t>
      </w:r>
      <w:r>
        <w:rPr>
          <w:rFonts w:ascii="Calibri" w:hAnsi="Calibri"/>
          <w:b/>
          <w:color w:val="525866"/>
          <w:sz w:val="22"/>
        </w:rPr>
        <w:t>outperformed both XLU and the S&amp;P 500 since the Q1 print</w:t>
      </w:r>
      <w:r>
        <w:rPr>
          <w:rFonts w:ascii="Calibri" w:hAnsi="Calibri"/>
          <w:color w:val="525866"/>
          <w:sz w:val="22"/>
        </w:rPr>
        <w:t xml:space="preserve"> (+4.6% vs. XLU flat and SPY +4.2%), with the July 16 Pennsylvania PUC decision providing a meaningful catalyst; at ~21x NTM P/E, the multiple is modestly below AWK's own historical premium, leaving room for re-rating if Q2 execution is clean. The key wildcard is the </w:t>
      </w:r>
      <w:r>
        <w:rPr>
          <w:rFonts w:ascii="Calibri" w:hAnsi="Calibri"/>
          <w:b/>
          <w:color w:val="525866"/>
          <w:sz w:val="22"/>
        </w:rPr>
        <w:t>Essential Utilities merger regulatory timeline</w:t>
      </w:r>
      <w:r>
        <w:rPr>
          <w:rFonts w:ascii="Calibri" w:hAnsi="Calibri"/>
          <w:color w:val="525866"/>
          <w:sz w:val="22"/>
        </w:rPr>
        <w:t>: any update on state approvals (Virginia, Illinois, Pennsylvania) or the Hart-Scott-Rodino filing expected "late this summer" could move the stock more than the Q2 print itself.</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low bar on EPS</w:t>
      </w:r>
      <w:r>
        <w:rPr>
          <w:rFonts w:ascii="Calibri" w:hAnsi="Calibri"/>
          <w:color w:val="525866"/>
          <w:sz w:val="22"/>
        </w:rPr>
        <w:t xml:space="preserve"> (estimates down ~5% since Q1 print) given management's explicit back-half earnings weighting; revenue is the bigger swing factor given Q2 captures only partial benefit of new Pennsylvania rates (effective August).</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EPS — Diluted Operating ($)</w:t>
            </w:r>
          </w:p>
        </w:tc>
        <w:tc>
          <w:tcPr>
            <w:tcW w:type="dxa" w:w="1234"/>
          </w:tcPr>
          <w:p>
            <w:r>
              <w:rPr>
                <w:rFonts w:ascii="Calibri" w:hAnsi="Calibri"/>
                <w:sz w:val="22"/>
              </w:rPr>
              <w:t>$1.01</w:t>
            </w:r>
          </w:p>
        </w:tc>
        <w:tc>
          <w:tcPr>
            <w:tcW w:type="dxa" w:w="1234"/>
          </w:tcPr>
          <w:p>
            <w:r>
              <w:rPr>
                <w:rFonts w:ascii="Calibri" w:hAnsi="Calibri"/>
                <w:sz w:val="22"/>
              </w:rPr>
              <w:t>$1.49</w:t>
            </w:r>
          </w:p>
        </w:tc>
        <w:tc>
          <w:tcPr>
            <w:tcW w:type="dxa" w:w="1234"/>
          </w:tcPr>
          <w:p>
            <w:r>
              <w:rPr>
                <w:rFonts w:ascii="Calibri" w:hAnsi="Calibri"/>
                <w:sz w:val="22"/>
              </w:rPr>
              <w:t>$1.54</w:t>
            </w:r>
          </w:p>
        </w:tc>
        <w:tc>
          <w:tcPr>
            <w:tcW w:type="dxa" w:w="1234"/>
          </w:tcPr>
          <w:p>
            <w:r>
              <w:rPr>
                <w:rFonts w:ascii="Calibri" w:hAnsi="Calibri"/>
                <w:sz w:val="22"/>
              </w:rPr>
              <w:t>+3.4%</w:t>
            </w:r>
          </w:p>
        </w:tc>
        <w:tc>
          <w:tcPr>
            <w:tcW w:type="dxa" w:w="1234"/>
          </w:tcPr>
          <w:p>
            <w:r>
              <w:rPr>
                <w:rFonts w:ascii="Calibri" w:hAnsi="Calibri"/>
                <w:sz w:val="22"/>
              </w:rPr>
              <w:t>$6.02–$6.12</w:t>
            </w:r>
          </w:p>
        </w:tc>
        <w:tc>
          <w:tcPr>
            <w:tcW w:type="dxa" w:w="1234"/>
          </w:tcPr>
          <w:p>
            <w:r>
              <w:rPr>
                <w:rFonts w:ascii="Calibri" w:hAnsi="Calibri"/>
                <w:sz w:val="22"/>
              </w:rPr>
              <w:t>~−1% vs. midpoint ($6.07)</w:t>
            </w:r>
          </w:p>
        </w:tc>
      </w:tr>
      <w:tr>
        <w:tc>
          <w:tcPr>
            <w:tcW w:type="dxa" w:w="1234"/>
          </w:tcPr>
          <w:p>
            <w:r>
              <w:rPr>
                <w:rFonts w:ascii="Calibri" w:hAnsi="Calibri"/>
                <w:sz w:val="22"/>
              </w:rPr>
              <w:t>Operating Revenues ($M)</w:t>
            </w:r>
          </w:p>
        </w:tc>
        <w:tc>
          <w:tcPr>
            <w:tcW w:type="dxa" w:w="1234"/>
          </w:tcPr>
          <w:p>
            <w:r>
              <w:rPr>
                <w:rFonts w:ascii="Calibri" w:hAnsi="Calibri"/>
                <w:sz w:val="22"/>
              </w:rPr>
              <w:t>$1,207M</w:t>
            </w:r>
          </w:p>
        </w:tc>
        <w:tc>
          <w:tcPr>
            <w:tcW w:type="dxa" w:w="1234"/>
          </w:tcPr>
          <w:p>
            <w:r>
              <w:rPr>
                <w:rFonts w:ascii="Calibri" w:hAnsi="Calibri"/>
                <w:sz w:val="22"/>
              </w:rPr>
              <w:t>$1,276M</w:t>
            </w:r>
          </w:p>
        </w:tc>
        <w:tc>
          <w:tcPr>
            <w:tcW w:type="dxa" w:w="1234"/>
          </w:tcPr>
          <w:p>
            <w:r>
              <w:rPr>
                <w:rFonts w:ascii="Calibri" w:hAnsi="Calibri"/>
                <w:sz w:val="22"/>
              </w:rPr>
              <w:t>$1,313M</w:t>
            </w:r>
          </w:p>
        </w:tc>
        <w:tc>
          <w:tcPr>
            <w:tcW w:type="dxa" w:w="1234"/>
          </w:tcPr>
          <w:p>
            <w:r>
              <w:rPr>
                <w:rFonts w:ascii="Calibri" w:hAnsi="Calibri"/>
                <w:sz w:val="22"/>
              </w:rPr>
              <w:t>+2.9%</w:t>
            </w:r>
          </w:p>
        </w:tc>
        <w:tc>
          <w:tcPr>
            <w:tcW w:type="dxa" w:w="1234"/>
          </w:tcPr>
          <w:p>
            <w:r>
              <w:rPr>
                <w:rFonts w:ascii="Calibri" w:hAnsi="Calibri"/>
                <w:sz w:val="22"/>
              </w:rPr>
              <w:t>~$5,413M (FY cons.)</w:t>
            </w:r>
          </w:p>
        </w:tc>
        <w:tc>
          <w:tcPr>
            <w:tcW w:type="dxa" w:w="1234"/>
          </w:tcPr>
          <w:p>
            <w:r>
              <w:rPr>
                <w:rFonts w:ascii="Calibri" w:hAnsi="Calibri"/>
                <w:sz w:val="22"/>
              </w:rPr>
              <w:t>N/A — no quarterly rev. guidance</w:t>
            </w:r>
          </w:p>
        </w:tc>
      </w:tr>
      <w:tr>
        <w:tc>
          <w:tcPr>
            <w:tcW w:type="dxa" w:w="1234"/>
          </w:tcPr>
          <w:p>
            <w:r>
              <w:rPr>
                <w:rFonts w:ascii="Calibri" w:hAnsi="Calibri"/>
                <w:sz w:val="22"/>
              </w:rPr>
              <w:t>Capital Expenditures ($M)</w:t>
            </w:r>
          </w:p>
        </w:tc>
        <w:tc>
          <w:tcPr>
            <w:tcW w:type="dxa" w:w="1234"/>
          </w:tcPr>
          <w:p>
            <w:r>
              <w:rPr>
                <w:rFonts w:ascii="Calibri" w:hAnsi="Calibri"/>
                <w:sz w:val="22"/>
              </w:rPr>
              <w:t>$659M</w:t>
            </w:r>
          </w:p>
        </w:tc>
        <w:tc>
          <w:tcPr>
            <w:tcW w:type="dxa" w:w="1234"/>
          </w:tcPr>
          <w:p>
            <w:r>
              <w:rPr>
                <w:rFonts w:ascii="Calibri" w:hAnsi="Calibri"/>
                <w:sz w:val="22"/>
              </w:rPr>
              <w:t>$733M</w:t>
            </w:r>
          </w:p>
        </w:tc>
        <w:tc>
          <w:tcPr>
            <w:tcW w:type="dxa" w:w="1234"/>
          </w:tcPr>
          <w:p>
            <w:r>
              <w:rPr>
                <w:rFonts w:ascii="Calibri" w:hAnsi="Calibri"/>
                <w:sz w:val="22"/>
              </w:rPr>
              <w:t>$969M</w:t>
            </w:r>
          </w:p>
        </w:tc>
        <w:tc>
          <w:tcPr>
            <w:tcW w:type="dxa" w:w="1234"/>
          </w:tcPr>
          <w:p>
            <w:r>
              <w:rPr>
                <w:rFonts w:ascii="Calibri" w:hAnsi="Calibri"/>
                <w:sz w:val="22"/>
              </w:rPr>
              <w:t>+32.2%</w:t>
            </w:r>
          </w:p>
        </w:tc>
        <w:tc>
          <w:tcPr>
            <w:tcW w:type="dxa" w:w="1234"/>
          </w:tcPr>
          <w:p>
            <w:r>
              <w:rPr>
                <w:rFonts w:ascii="Calibri" w:hAnsi="Calibri"/>
                <w:sz w:val="22"/>
              </w:rPr>
              <w:t>~$3,628M (FY cons.)</w:t>
            </w:r>
          </w:p>
        </w:tc>
        <w:tc>
          <w:tcPr>
            <w:tcW w:type="dxa" w:w="1234"/>
          </w:tcPr>
          <w:p>
            <w:r>
              <w:rPr>
                <w:rFonts w:ascii="Calibri" w:hAnsi="Calibri"/>
                <w:sz w:val="22"/>
              </w:rPr>
              <w:t>N/A — no quarterly capex guidance</w:t>
            </w:r>
          </w:p>
        </w:tc>
      </w:tr>
      <w:tr>
        <w:tc>
          <w:tcPr>
            <w:tcW w:type="dxa" w:w="1234"/>
          </w:tcPr>
          <w:p>
            <w:r>
              <w:rPr>
                <w:rFonts w:ascii="Calibri" w:hAnsi="Calibri"/>
                <w:sz w:val="22"/>
              </w:rPr>
              <w:t>Total Rate Base ($B)</w:t>
            </w:r>
          </w:p>
        </w:tc>
        <w:tc>
          <w:tcPr>
            <w:tcW w:type="dxa" w:w="1234"/>
          </w:tcPr>
          <w:p>
            <w:r>
              <w:rPr>
                <w:rFonts w:ascii="Calibri" w:hAnsi="Calibri"/>
                <w:sz w:val="22"/>
              </w:rPr>
              <w:t>$24.6B</w:t>
            </w:r>
          </w:p>
        </w:tc>
        <w:tc>
          <w:tcPr>
            <w:tcW w:type="dxa" w:w="1234"/>
          </w:tcPr>
          <w:p>
            <w:r>
              <w:rPr>
                <w:rFonts w:ascii="Calibri" w:hAnsi="Calibri"/>
                <w:sz w:val="22"/>
              </w:rPr>
              <w:t>$23.1B</w:t>
            </w:r>
          </w:p>
        </w:tc>
        <w:tc>
          <w:tcPr>
            <w:tcW w:type="dxa" w:w="1234"/>
          </w:tcPr>
          <w:p>
            <w:r>
              <w:rPr>
                <w:rFonts w:ascii="Calibri" w:hAnsi="Calibri"/>
                <w:sz w:val="22"/>
              </w:rPr>
              <w:t>$25.3B</w:t>
            </w:r>
          </w:p>
        </w:tc>
        <w:tc>
          <w:tcPr>
            <w:tcW w:type="dxa" w:w="1234"/>
          </w:tcPr>
          <w:p>
            <w:r>
              <w:rPr>
                <w:rFonts w:ascii="Calibri" w:hAnsi="Calibri"/>
                <w:sz w:val="22"/>
              </w:rPr>
              <w:t>+9.5%</w:t>
            </w:r>
          </w:p>
        </w:tc>
        <w:tc>
          <w:tcPr>
            <w:tcW w:type="dxa" w:w="1234"/>
          </w:tcPr>
          <w:p>
            <w:r>
              <w:rPr>
                <w:rFonts w:ascii="Calibri" w:hAnsi="Calibri"/>
                <w:sz w:val="22"/>
              </w:rPr>
              <w:t>8–9% LT growth target</w:t>
            </w:r>
          </w:p>
        </w:tc>
        <w:tc>
          <w:tcPr>
            <w:tcW w:type="dxa" w:w="1234"/>
          </w:tcPr>
          <w:p>
            <w:r>
              <w:rPr>
                <w:rFonts w:ascii="Calibri" w:hAnsi="Calibri"/>
                <w:sz w:val="22"/>
              </w:rPr>
              <w:t>On track</w:t>
            </w:r>
          </w:p>
        </w:tc>
      </w:tr>
    </w:tbl>
    <w:p>
      <w:r>
        <w:rPr>
          <w:rFonts w:ascii="Calibri" w:hAnsi="Calibri"/>
          <w:i/>
          <w:color w:val="525866"/>
          <w:sz w:val="22"/>
        </w:rPr>
        <w:t>Source: Visible Alpha Consensus and Actuals Data. All consensus figures as of July 28, 2026.</w:t>
      </w:r>
    </w:p>
    <w:p>
      <w:pPr>
        <w:pStyle w:val="Heading3"/>
      </w:pPr>
      <w:r>
        <w:rPr>
          <w:rFonts w:ascii="Calibri" w:hAnsi="Calibri"/>
          <w:b/>
          <w:color w:val="3B4259"/>
          <w:sz w:val="24"/>
        </w:rPr>
        <w:t>Table 2 — Beat/Miss History (Last 8 Quarters, EPS —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$1.01</w:t>
            </w:r>
          </w:p>
        </w:tc>
        <w:tc>
          <w:tcPr>
            <w:tcW w:type="dxa" w:w="1728"/>
          </w:tcPr>
          <w:p>
            <w:r>
              <w:rPr>
                <w:rFonts w:ascii="Calibri" w:hAnsi="Calibri"/>
                <w:sz w:val="22"/>
              </w:rPr>
              <w:t>$1.09</w:t>
            </w:r>
          </w:p>
        </w:tc>
        <w:tc>
          <w:tcPr>
            <w:tcW w:type="dxa" w:w="1728"/>
          </w:tcPr>
          <w:p>
            <w:r>
              <w:rPr>
                <w:rFonts w:ascii="Calibri" w:hAnsi="Calibri"/>
                <w:sz w:val="22"/>
              </w:rPr>
              <w:t>−7.3%</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$1.24</w:t>
            </w:r>
          </w:p>
        </w:tc>
        <w:tc>
          <w:tcPr>
            <w:tcW w:type="dxa" w:w="1728"/>
          </w:tcPr>
          <w:p>
            <w:r>
              <w:rPr>
                <w:rFonts w:ascii="Calibri" w:hAnsi="Calibri"/>
                <w:sz w:val="22"/>
              </w:rPr>
              <w:t>$1.25</w:t>
            </w:r>
          </w:p>
        </w:tc>
        <w:tc>
          <w:tcPr>
            <w:tcW w:type="dxa" w:w="1728"/>
          </w:tcPr>
          <w:p>
            <w:r>
              <w:rPr>
                <w:rFonts w:ascii="Calibri" w:hAnsi="Calibri"/>
                <w:sz w:val="22"/>
              </w:rPr>
              <w:t>−0.8%</w:t>
            </w:r>
          </w:p>
        </w:tc>
        <w:tc>
          <w:tcPr>
            <w:tcW w:type="dxa" w:w="1728"/>
          </w:tcPr>
          <w:p>
            <w:r>
              <w:rPr>
                <w:rFonts w:ascii="Calibri" w:hAnsi="Calibri"/>
                <w:sz w:val="22"/>
              </w:rPr>
              <w:t>In-Line / Slight Miss</w:t>
            </w:r>
          </w:p>
        </w:tc>
      </w:tr>
      <w:tr>
        <w:tc>
          <w:tcPr>
            <w:tcW w:type="dxa" w:w="1728"/>
          </w:tcPr>
          <w:p>
            <w:r>
              <w:rPr>
                <w:rFonts w:ascii="Calibri" w:hAnsi="Calibri"/>
                <w:sz w:val="22"/>
              </w:rPr>
              <w:t>Q3 2025</w:t>
            </w:r>
          </w:p>
        </w:tc>
        <w:tc>
          <w:tcPr>
            <w:tcW w:type="dxa" w:w="1728"/>
          </w:tcPr>
          <w:p>
            <w:r>
              <w:rPr>
                <w:rFonts w:ascii="Calibri" w:hAnsi="Calibri"/>
                <w:sz w:val="22"/>
              </w:rPr>
              <w:t>$1.94</w:t>
            </w:r>
          </w:p>
        </w:tc>
        <w:tc>
          <w:tcPr>
            <w:tcW w:type="dxa" w:w="1728"/>
          </w:tcPr>
          <w:p>
            <w:r>
              <w:rPr>
                <w:rFonts w:ascii="Calibri" w:hAnsi="Calibri"/>
                <w:sz w:val="22"/>
              </w:rPr>
              <w:t>$1.89</w:t>
            </w:r>
          </w:p>
        </w:tc>
        <w:tc>
          <w:tcPr>
            <w:tcW w:type="dxa" w:w="1728"/>
          </w:tcPr>
          <w:p>
            <w:r>
              <w:rPr>
                <w:rFonts w:ascii="Calibri" w:hAnsi="Calibri"/>
                <w:sz w:val="22"/>
              </w:rPr>
              <w:t>+2.6%</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$1.49</w:t>
            </w:r>
          </w:p>
        </w:tc>
        <w:tc>
          <w:tcPr>
            <w:tcW w:type="dxa" w:w="1728"/>
          </w:tcPr>
          <w:p>
            <w:r>
              <w:rPr>
                <w:rFonts w:ascii="Calibri" w:hAnsi="Calibri"/>
                <w:sz w:val="22"/>
              </w:rPr>
              <w:t>$1.52</w:t>
            </w:r>
          </w:p>
        </w:tc>
        <w:tc>
          <w:tcPr>
            <w:tcW w:type="dxa" w:w="1728"/>
          </w:tcPr>
          <w:p>
            <w:r>
              <w:rPr>
                <w:rFonts w:ascii="Calibri" w:hAnsi="Calibri"/>
                <w:sz w:val="22"/>
              </w:rPr>
              <w:t>−2.0%</w:t>
            </w:r>
          </w:p>
        </w:tc>
        <w:tc>
          <w:tcPr>
            <w:tcW w:type="dxa" w:w="1728"/>
          </w:tcPr>
          <w:p>
            <w:r>
              <w:rPr>
                <w:rFonts w:ascii="Calibri" w:hAnsi="Calibri"/>
                <w:sz w:val="22"/>
              </w:rPr>
              <w:t>Slight Miss</w:t>
            </w:r>
          </w:p>
        </w:tc>
      </w:tr>
      <w:tr>
        <w:tc>
          <w:tcPr>
            <w:tcW w:type="dxa" w:w="1728"/>
          </w:tcPr>
          <w:p>
            <w:r>
              <w:rPr>
                <w:rFonts w:ascii="Calibri" w:hAnsi="Calibri"/>
                <w:sz w:val="22"/>
              </w:rPr>
              <w:t>Q1 2025</w:t>
            </w:r>
          </w:p>
        </w:tc>
        <w:tc>
          <w:tcPr>
            <w:tcW w:type="dxa" w:w="1728"/>
          </w:tcPr>
          <w:p>
            <w:r>
              <w:rPr>
                <w:rFonts w:ascii="Calibri" w:hAnsi="Calibri"/>
                <w:sz w:val="22"/>
              </w:rPr>
              <w:t>$1.02</w:t>
            </w:r>
          </w:p>
        </w:tc>
        <w:tc>
          <w:tcPr>
            <w:tcW w:type="dxa" w:w="1728"/>
          </w:tcPr>
          <w:p>
            <w:r>
              <w:rPr>
                <w:rFonts w:ascii="Calibri" w:hAnsi="Calibri"/>
                <w:sz w:val="22"/>
              </w:rPr>
              <w:t>$1.00</w:t>
            </w:r>
          </w:p>
        </w:tc>
        <w:tc>
          <w:tcPr>
            <w:tcW w:type="dxa" w:w="1728"/>
          </w:tcPr>
          <w:p>
            <w:r>
              <w:rPr>
                <w:rFonts w:ascii="Calibri" w:hAnsi="Calibri"/>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$1.22</w:t>
            </w:r>
          </w:p>
        </w:tc>
        <w:tc>
          <w:tcPr>
            <w:tcW w:type="dxa" w:w="1728"/>
          </w:tcPr>
          <w:p>
            <w:r>
              <w:rPr>
                <w:rFonts w:ascii="Calibri" w:hAnsi="Calibri"/>
                <w:sz w:val="22"/>
              </w:rPr>
              <w:t>$1.12</w:t>
            </w:r>
          </w:p>
        </w:tc>
        <w:tc>
          <w:tcPr>
            <w:tcW w:type="dxa" w:w="1728"/>
          </w:tcPr>
          <w:p>
            <w:r>
              <w:rPr>
                <w:rFonts w:ascii="Calibri" w:hAnsi="Calibri"/>
                <w:sz w:val="22"/>
              </w:rPr>
              <w:t>+9.0%</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$1.80</w:t>
            </w:r>
          </w:p>
        </w:tc>
        <w:tc>
          <w:tcPr>
            <w:tcW w:type="dxa" w:w="1728"/>
          </w:tcPr>
          <w:p>
            <w:r>
              <w:rPr>
                <w:rFonts w:ascii="Calibri" w:hAnsi="Calibri"/>
                <w:sz w:val="22"/>
              </w:rPr>
              <w:t>$1.85</w:t>
            </w:r>
          </w:p>
        </w:tc>
        <w:tc>
          <w:tcPr>
            <w:tcW w:type="dxa" w:w="1728"/>
          </w:tcPr>
          <w:p>
            <w:r>
              <w:rPr>
                <w:rFonts w:ascii="Calibri" w:hAnsi="Calibri"/>
                <w:sz w:val="22"/>
              </w:rPr>
              <w:t>−2.7%</w:t>
            </w:r>
          </w:p>
        </w:tc>
        <w:tc>
          <w:tcPr>
            <w:tcW w:type="dxa" w:w="1728"/>
          </w:tcPr>
          <w:p>
            <w:r>
              <w:rPr>
                <w:rFonts w:ascii="Calibri" w:hAnsi="Calibri"/>
                <w:sz w:val="22"/>
              </w:rPr>
              <w:t>Slight Miss</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AWK has a mixed recent track record — Q1 2026 was a notable miss (management attributed to back-half earnings weighting), but Q3 tends to be the strongest beat quarter given summer rate seasonality. The low bar heading into Q2 2026 reduces downside risk from a repeat miss.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is </w:t>
      </w:r>
      <w:r>
        <w:rPr>
          <w:rFonts w:ascii="Calibri" w:hAnsi="Calibri"/>
          <w:b/>
          <w:color w:val="525866"/>
          <w:sz w:val="22"/>
        </w:rPr>
        <w:t>unchanged since the Q1 2026 earnings call</w:t>
      </w:r>
      <w:r>
        <w:rPr>
          <w:rFonts w:ascii="Calibri" w:hAnsi="Calibri"/>
          <w:color w:val="525866"/>
          <w:sz w:val="22"/>
        </w:rPr>
        <w:t>; the Pennsylvania PUC decision (July 16) is a material post-Q1 positive that validates the back-half earnings ramp but did not trigger a formal guidance revision.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Adjusted EPS</w:t>
            </w:r>
          </w:p>
        </w:tc>
        <w:tc>
          <w:tcPr>
            <w:tcW w:type="dxa" w:w="1728"/>
          </w:tcPr>
          <w:p>
            <w:r>
              <w:rPr>
                <w:rFonts w:ascii="Calibri" w:hAnsi="Calibri"/>
                <w:sz w:val="22"/>
              </w:rPr>
              <w:t>$6.02–$6.12</w:t>
            </w:r>
          </w:p>
        </w:tc>
        <w:tc>
          <w:tcPr>
            <w:tcW w:type="dxa" w:w="1728"/>
          </w:tcPr>
          <w:p>
            <w:r>
              <w:rPr>
                <w:rFonts w:ascii="Calibri" w:hAnsi="Calibri"/>
                <w:sz w:val="22"/>
              </w:rPr>
              <w:t>— (unchanged)</w:t>
            </w:r>
          </w:p>
        </w:tc>
        <w:tc>
          <w:tcPr>
            <w:tcW w:type="dxa" w:w="1728"/>
          </w:tcPr>
          <w:p>
            <w:r>
              <w:rPr>
                <w:rFonts w:ascii="Calibri" w:hAnsi="Calibri"/>
                <w:sz w:val="22"/>
              </w:rPr>
              <w:t>$6.09</w:t>
            </w:r>
          </w:p>
        </w:tc>
        <w:tc>
          <w:tcPr>
            <w:tcW w:type="dxa" w:w="1728"/>
          </w:tcPr>
          <w:p>
            <w:r>
              <w:rPr>
                <w:rFonts w:ascii="Calibri" w:hAnsi="Calibri"/>
                <w:sz w:val="22"/>
              </w:rPr>
              <w:t>Affirmed on Q1 call; consensus sits at midpoint. No post-Q1 revision.</w:t>
            </w:r>
          </w:p>
        </w:tc>
      </w:tr>
      <w:tr>
        <w:tc>
          <w:tcPr>
            <w:tcW w:type="dxa" w:w="1728"/>
          </w:tcPr>
          <w:p>
            <w:r>
              <w:rPr>
                <w:rFonts w:ascii="Calibri" w:hAnsi="Calibri"/>
                <w:sz w:val="22"/>
              </w:rPr>
              <w:t>Long-Term EPS Growth</w:t>
            </w:r>
          </w:p>
        </w:tc>
        <w:tc>
          <w:tcPr>
            <w:tcW w:type="dxa" w:w="1728"/>
          </w:tcPr>
          <w:p>
            <w:r>
              <w:rPr>
                <w:rFonts w:ascii="Calibri" w:hAnsi="Calibri"/>
                <w:sz w:val="22"/>
              </w:rPr>
              <w:t>7–9% through 2030+</w:t>
            </w:r>
          </w:p>
        </w:tc>
        <w:tc>
          <w:tcPr>
            <w:tcW w:type="dxa" w:w="1728"/>
          </w:tcPr>
          <w:p>
            <w:r>
              <w:rPr>
                <w:rFonts w:ascii="Calibri" w:hAnsi="Calibri"/>
                <w:sz w:val="22"/>
              </w:rPr>
              <w:t>— (unchanged)</w:t>
            </w:r>
          </w:p>
        </w:tc>
        <w:tc>
          <w:tcPr>
            <w:tcW w:type="dxa" w:w="1728"/>
          </w:tcPr>
          <w:p>
            <w:r>
              <w:rPr>
                <w:rFonts w:ascii="Calibri" w:hAnsi="Calibri"/>
                <w:sz w:val="22"/>
              </w:rPr>
              <w:t>Consistent with guidance</w:t>
            </w:r>
          </w:p>
        </w:tc>
        <w:tc>
          <w:tcPr>
            <w:tcW w:type="dxa" w:w="1728"/>
          </w:tcPr>
          <w:p>
            <w:r>
              <w:rPr>
                <w:rFonts w:ascii="Calibri" w:hAnsi="Calibri"/>
                <w:sz w:val="22"/>
              </w:rPr>
              <w:t>Maintained even post-Essential Utilities merger announcement.</w:t>
            </w:r>
          </w:p>
        </w:tc>
      </w:tr>
      <w:tr>
        <w:tc>
          <w:tcPr>
            <w:tcW w:type="dxa" w:w="1728"/>
          </w:tcPr>
          <w:p>
            <w:r>
              <w:rPr>
                <w:rFonts w:ascii="Calibri" w:hAnsi="Calibri"/>
                <w:sz w:val="22"/>
              </w:rPr>
              <w:t>Quarterly Dividend</w:t>
            </w:r>
          </w:p>
        </w:tc>
        <w:tc>
          <w:tcPr>
            <w:tcW w:type="dxa" w:w="1728"/>
          </w:tcPr>
          <w:p>
            <w:r>
              <w:rPr>
                <w:rFonts w:ascii="Calibri" w:hAnsi="Calibri"/>
                <w:sz w:val="22"/>
              </w:rPr>
              <w:t>$0.8950/share (+8.2%)</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Raised at Q1 earnings; 7–9% annual dividend growth target maintained.</w:t>
            </w:r>
          </w:p>
        </w:tc>
      </w:tr>
      <w:tr>
        <w:tc>
          <w:tcPr>
            <w:tcW w:type="dxa" w:w="1728"/>
          </w:tcPr>
          <w:p>
            <w:r>
              <w:rPr>
                <w:rFonts w:ascii="Calibri" w:hAnsi="Calibri"/>
                <w:sz w:val="22"/>
              </w:rPr>
              <w:t>Pennsylvania Rate Case</w:t>
            </w:r>
          </w:p>
        </w:tc>
        <w:tc>
          <w:tcPr>
            <w:tcW w:type="dxa" w:w="1728"/>
          </w:tcPr>
          <w:p>
            <w:r>
              <w:rPr>
                <w:rFonts w:ascii="Calibri" w:hAnsi="Calibri"/>
                <w:sz w:val="22"/>
              </w:rPr>
              <w:t>Final order expected July; new rates effective August</w:t>
            </w:r>
          </w:p>
        </w:tc>
        <w:tc>
          <w:tcPr>
            <w:tcW w:type="dxa" w:w="1728"/>
          </w:tcPr>
          <w:p>
            <w:r>
              <w:rPr>
                <w:rFonts w:ascii="Calibri" w:hAnsi="Calibri"/>
                <w:sz w:val="22"/>
              </w:rPr>
              <w:t>↑ PaPUC approved $74.9M annual revenue increase (July 16, 2026)</w:t>
            </w:r>
          </w:p>
        </w:tc>
        <w:tc>
          <w:tcPr>
            <w:tcW w:type="dxa" w:w="1728"/>
          </w:tcPr>
          <w:p>
            <w:r>
              <w:rPr>
                <w:rFonts w:ascii="Calibri" w:hAnsi="Calibri"/>
                <w:sz w:val="22"/>
              </w:rPr>
              <w:t>N/A</w:t>
            </w:r>
          </w:p>
        </w:tc>
        <w:tc>
          <w:tcPr>
            <w:tcW w:type="dxa" w:w="1728"/>
          </w:tcPr>
          <w:p>
            <w:r>
              <w:rPr>
                <w:rFonts w:ascii="Calibri" w:hAnsi="Calibri"/>
                <w:sz w:val="22"/>
              </w:rPr>
              <w:t>↑ Positive 8-K July 16; validates H2 earnings ramp. Rates effective August.</w:t>
            </w:r>
          </w:p>
        </w:tc>
      </w:tr>
      <w:tr>
        <w:tc>
          <w:tcPr>
            <w:tcW w:type="dxa" w:w="1728"/>
          </w:tcPr>
          <w:p>
            <w:r>
              <w:rPr>
                <w:rFonts w:ascii="Calibri" w:hAnsi="Calibri"/>
                <w:sz w:val="22"/>
              </w:rPr>
              <w:t>New Jersey Rate Case</w:t>
            </w:r>
          </w:p>
        </w:tc>
        <w:tc>
          <w:tcPr>
            <w:tcW w:type="dxa" w:w="1728"/>
          </w:tcPr>
          <w:p>
            <w:r>
              <w:rPr>
                <w:rFonts w:ascii="Calibri" w:hAnsi="Calibri"/>
                <w:sz w:val="22"/>
              </w:rPr>
              <w:t>Rate Counsel testimony due June 22; new rates expected "later this fall"</w:t>
            </w:r>
          </w:p>
        </w:tc>
        <w:tc>
          <w:tcPr>
            <w:tcW w:type="dxa" w:w="1728"/>
          </w:tcPr>
          <w:p>
            <w:r>
              <w:rPr>
                <w:rFonts w:ascii="Calibri" w:hAnsi="Calibri"/>
                <w:sz w:val="22"/>
              </w:rPr>
              <w:t>— (no update)</w:t>
            </w:r>
          </w:p>
        </w:tc>
        <w:tc>
          <w:tcPr>
            <w:tcW w:type="dxa" w:w="1728"/>
          </w:tcPr>
          <w:p>
            <w:r>
              <w:rPr>
                <w:rFonts w:ascii="Calibri" w:hAnsi="Calibri"/>
                <w:sz w:val="22"/>
              </w:rPr>
              <w:t>N/A</w:t>
            </w:r>
          </w:p>
        </w:tc>
        <w:tc>
          <w:tcPr>
            <w:tcW w:type="dxa" w:w="1728"/>
          </w:tcPr>
          <w:p>
            <w:r>
              <w:rPr>
                <w:rFonts w:ascii="Calibri" w:hAnsi="Calibri"/>
                <w:sz w:val="22"/>
              </w:rPr>
              <w:t>Proceeding on schedule; key H2 earnings driver.</w:t>
            </w:r>
          </w:p>
        </w:tc>
      </w:tr>
      <w:tr>
        <w:tc>
          <w:tcPr>
            <w:tcW w:type="dxa" w:w="1728"/>
          </w:tcPr>
          <w:p>
            <w:r>
              <w:rPr>
                <w:rFonts w:ascii="Calibri" w:hAnsi="Calibri"/>
                <w:sz w:val="22"/>
              </w:rPr>
              <w:t>Missouri Rate Filing</w:t>
            </w:r>
          </w:p>
        </w:tc>
        <w:tc>
          <w:tcPr>
            <w:tcW w:type="dxa" w:w="1728"/>
          </w:tcPr>
          <w:p>
            <w:r>
              <w:rPr>
                <w:rFonts w:ascii="Calibri" w:hAnsi="Calibri"/>
                <w:sz w:val="22"/>
              </w:rPr>
              <w:t>Not yet filed at Q1 call</w:t>
            </w:r>
          </w:p>
        </w:tc>
        <w:tc>
          <w:tcPr>
            <w:tcW w:type="dxa" w:w="1728"/>
          </w:tcPr>
          <w:p>
            <w:r>
              <w:rPr>
                <w:rFonts w:ascii="Calibri" w:hAnsi="Calibri"/>
                <w:sz w:val="22"/>
              </w:rPr>
              <w:t>↑ Filed July 1, 2026 — $179M rate increase request; new rates could take effect June 2027</w:t>
            </w:r>
          </w:p>
        </w:tc>
        <w:tc>
          <w:tcPr>
            <w:tcW w:type="dxa" w:w="1728"/>
          </w:tcPr>
          <w:p>
            <w:r>
              <w:rPr>
                <w:rFonts w:ascii="Calibri" w:hAnsi="Calibri"/>
                <w:sz w:val="22"/>
              </w:rPr>
              <w:t>N/A</w:t>
            </w:r>
          </w:p>
        </w:tc>
        <w:tc>
          <w:tcPr>
            <w:tcW w:type="dxa" w:w="1728"/>
          </w:tcPr>
          <w:p>
            <w:r>
              <w:rPr>
                <w:rFonts w:ascii="Calibri" w:hAnsi="Calibri"/>
                <w:sz w:val="22"/>
              </w:rPr>
              <w:t>New post-Q1 filing; supports long-term rate base growth narrative.</w:t>
            </w:r>
          </w:p>
        </w:tc>
      </w:tr>
      <w:tr>
        <w:tc>
          <w:tcPr>
            <w:tcW w:type="dxa" w:w="1728"/>
          </w:tcPr>
          <w:p>
            <w:r>
              <w:rPr>
                <w:rFonts w:ascii="Calibri" w:hAnsi="Calibri"/>
                <w:sz w:val="22"/>
              </w:rPr>
              <w:t>Kentucky Rate Filing</w:t>
            </w:r>
          </w:p>
        </w:tc>
        <w:tc>
          <w:tcPr>
            <w:tcW w:type="dxa" w:w="1728"/>
          </w:tcPr>
          <w:p>
            <w:r>
              <w:rPr>
                <w:rFonts w:ascii="Calibri" w:hAnsi="Calibri"/>
                <w:sz w:val="22"/>
              </w:rPr>
              <w:t>Not yet filed at Q1 call</w:t>
            </w:r>
          </w:p>
        </w:tc>
        <w:tc>
          <w:tcPr>
            <w:tcW w:type="dxa" w:w="1728"/>
          </w:tcPr>
          <w:p>
            <w:r>
              <w:rPr>
                <w:rFonts w:ascii="Calibri" w:hAnsi="Calibri"/>
                <w:sz w:val="22"/>
              </w:rPr>
              <w:t>↑ Filed May 15, 2026 — $17.7M request; interim rates expected December 2026</w:t>
            </w:r>
          </w:p>
        </w:tc>
        <w:tc>
          <w:tcPr>
            <w:tcW w:type="dxa" w:w="1728"/>
          </w:tcPr>
          <w:p>
            <w:r>
              <w:rPr>
                <w:rFonts w:ascii="Calibri" w:hAnsi="Calibri"/>
                <w:sz w:val="22"/>
              </w:rPr>
              <w:t>N/A</w:t>
            </w:r>
          </w:p>
        </w:tc>
        <w:tc>
          <w:tcPr>
            <w:tcW w:type="dxa" w:w="1728"/>
          </w:tcPr>
          <w:p>
            <w:r>
              <w:rPr>
                <w:rFonts w:ascii="Calibri" w:hAnsi="Calibri"/>
                <w:sz w:val="22"/>
              </w:rPr>
              <w:t>Supports ongoing capital recovery cadence.</w:t>
            </w:r>
          </w:p>
        </w:tc>
      </w:tr>
      <w:tr>
        <w:tc>
          <w:tcPr>
            <w:tcW w:type="dxa" w:w="1728"/>
          </w:tcPr>
          <w:p>
            <w:r>
              <w:rPr>
                <w:rFonts w:ascii="Calibri" w:hAnsi="Calibri"/>
                <w:sz w:val="22"/>
              </w:rPr>
              <w:t>5-Year CapEx Plan</w:t>
            </w:r>
          </w:p>
        </w:tc>
        <w:tc>
          <w:tcPr>
            <w:tcW w:type="dxa" w:w="1728"/>
          </w:tcPr>
          <w:p>
            <w:r>
              <w:rPr>
                <w:rFonts w:ascii="Calibri" w:hAnsi="Calibri"/>
                <w:sz w:val="22"/>
              </w:rPr>
              <w:t>$19–$20B (5-year); $46–$48B (10-year)</w:t>
            </w:r>
          </w:p>
        </w:tc>
        <w:tc>
          <w:tcPr>
            <w:tcW w:type="dxa" w:w="1728"/>
          </w:tcPr>
          <w:p>
            <w:r>
              <w:rPr>
                <w:rFonts w:ascii="Calibri" w:hAnsi="Calibri"/>
                <w:sz w:val="22"/>
              </w:rPr>
              <w:t>— (unchanged)</w:t>
            </w:r>
          </w:p>
        </w:tc>
        <w:tc>
          <w:tcPr>
            <w:tcW w:type="dxa" w:w="1728"/>
          </w:tcPr>
          <w:p>
            <w:r>
              <w:rPr>
                <w:rFonts w:ascii="Calibri" w:hAnsi="Calibri"/>
                <w:sz w:val="22"/>
              </w:rPr>
              <w:t>~$3.6B FY 2026 consensus</w:t>
            </w:r>
          </w:p>
        </w:tc>
        <w:tc>
          <w:tcPr>
            <w:tcW w:type="dxa" w:w="1728"/>
          </w:tcPr>
          <w:p>
            <w:r>
              <w:rPr>
                <w:rFonts w:ascii="Calibri" w:hAnsi="Calibri"/>
                <w:sz w:val="22"/>
              </w:rPr>
              <w:t>Equity forward (~$1B) assumed settled around midyear; next debt issuance planned Q3/early Q4.</w:t>
            </w:r>
          </w:p>
        </w:tc>
      </w:tr>
      <w:tr>
        <w:tc>
          <w:tcPr>
            <w:tcW w:type="dxa" w:w="1728"/>
          </w:tcPr>
          <w:p>
            <w:r>
              <w:rPr>
                <w:rFonts w:ascii="Calibri" w:hAnsi="Calibri"/>
                <w:sz w:val="22"/>
              </w:rPr>
              <w:t>Essential Utilities Merger</w:t>
            </w:r>
          </w:p>
        </w:tc>
        <w:tc>
          <w:tcPr>
            <w:tcW w:type="dxa" w:w="1728"/>
          </w:tcPr>
          <w:p>
            <w:r>
              <w:rPr>
                <w:rFonts w:ascii="Calibri" w:hAnsi="Calibri"/>
                <w:sz w:val="22"/>
              </w:rPr>
              <w:t>Close expected Q1 2027; 7 state approvals required</w:t>
            </w:r>
          </w:p>
        </w:tc>
        <w:tc>
          <w:tcPr>
            <w:tcW w:type="dxa" w:w="1728"/>
          </w:tcPr>
          <w:p>
            <w:r>
              <w:rPr>
                <w:rFonts w:ascii="Calibri" w:hAnsi="Calibri"/>
                <w:sz w:val="22"/>
              </w:rPr>
              <w:t>— (no new state approvals disclosed post-Q1)</w:t>
            </w:r>
          </w:p>
        </w:tc>
        <w:tc>
          <w:tcPr>
            <w:tcW w:type="dxa" w:w="1728"/>
          </w:tcPr>
          <w:p>
            <w:r>
              <w:rPr>
                <w:rFonts w:ascii="Calibri" w:hAnsi="Calibri"/>
                <w:sz w:val="22"/>
              </w:rPr>
              <w:t>N/A</w:t>
            </w:r>
          </w:p>
        </w:tc>
        <w:tc>
          <w:tcPr>
            <w:tcW w:type="dxa" w:w="1728"/>
          </w:tcPr>
          <w:p>
            <w:r>
              <w:rPr>
                <w:rFonts w:ascii="Calibri" w:hAnsi="Calibri"/>
                <w:sz w:val="22"/>
              </w:rPr>
              <w:t>HSR filing expected "late this summer"; Virginia and Illinois decisions expected in 2026.</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w:t>
      </w:r>
      <w:r>
        <w:rPr>
          <w:rFonts w:ascii="Calibri" w:hAnsi="Calibri"/>
          <w:b/>
          <w:color w:val="525866"/>
          <w:sz w:val="22"/>
        </w:rPr>
        <w:t>modestly lower</w:t>
      </w:r>
      <w:r>
        <w:rPr>
          <w:rFonts w:ascii="Calibri" w:hAnsi="Calibri"/>
          <w:color w:val="525866"/>
          <w:sz w:val="22"/>
        </w:rPr>
        <w:t xml:space="preserve"> since the Q1 print for both Q2 and FY 2026, consistent with management's back-half weighting narrative — the gap is not a risk signal but rather a reflection of the seasonal earnings profile. Full-year consensus remains essentially at the guidance midpoint.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Estimate ~5 Days Post Q1 Earnings (c. May 6,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EPS — Diluted Operating (Q2 2026)</w:t>
            </w:r>
          </w:p>
        </w:tc>
        <w:tc>
          <w:tcPr>
            <w:tcW w:type="dxa" w:w="1080"/>
          </w:tcPr>
          <w:p>
            <w:r>
              <w:rPr>
                <w:rFonts w:ascii="Calibri" w:hAnsi="Calibri"/>
                <w:sz w:val="22"/>
              </w:rPr>
              <w:t>$1.63</w:t>
            </w:r>
          </w:p>
        </w:tc>
        <w:tc>
          <w:tcPr>
            <w:tcW w:type="dxa" w:w="1080"/>
          </w:tcPr>
          <w:p>
            <w:r>
              <w:rPr>
                <w:rFonts w:ascii="Calibri" w:hAnsi="Calibri"/>
                <w:sz w:val="22"/>
              </w:rPr>
              <w:t>$1.54</w:t>
            </w:r>
          </w:p>
        </w:tc>
        <w:tc>
          <w:tcPr>
            <w:tcW w:type="dxa" w:w="1080"/>
          </w:tcPr>
          <w:p>
            <w:r>
              <w:rPr>
                <w:rFonts w:ascii="Calibri" w:hAnsi="Calibri"/>
                <w:sz w:val="22"/>
              </w:rPr>
              <w:t>−5.5%</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EPS — Diluted Operating (FY 2026)</w:t>
            </w:r>
          </w:p>
        </w:tc>
        <w:tc>
          <w:tcPr>
            <w:tcW w:type="dxa" w:w="1080"/>
          </w:tcPr>
          <w:p>
            <w:r>
              <w:rPr>
                <w:rFonts w:ascii="Calibri" w:hAnsi="Calibri"/>
                <w:sz w:val="22"/>
              </w:rPr>
              <w:t>$6.10</w:t>
            </w:r>
          </w:p>
        </w:tc>
        <w:tc>
          <w:tcPr>
            <w:tcW w:type="dxa" w:w="1080"/>
          </w:tcPr>
          <w:p>
            <w:r>
              <w:rPr>
                <w:rFonts w:ascii="Calibri" w:hAnsi="Calibri"/>
                <w:sz w:val="22"/>
              </w:rPr>
              <w:t>$6.09</w:t>
            </w:r>
          </w:p>
        </w:tc>
        <w:tc>
          <w:tcPr>
            <w:tcW w:type="dxa" w:w="1080"/>
          </w:tcPr>
          <w:p>
            <w:r>
              <w:rPr>
                <w:rFonts w:ascii="Calibri" w:hAnsi="Calibri"/>
                <w:sz w:val="22"/>
              </w:rPr>
              <w:t>−0.2%</w:t>
            </w:r>
          </w:p>
        </w:tc>
        <w:tc>
          <w:tcPr>
            <w:tcW w:type="dxa" w:w="1080"/>
          </w:tcPr>
          <w:p>
            <w:r>
              <w:rPr>
                <w:rFonts w:ascii="Calibri" w:hAnsi="Calibri"/>
                <w:sz w:val="22"/>
              </w:rPr>
              <w:t>$6.02–$6.12</w:t>
            </w:r>
          </w:p>
        </w:tc>
        <w:tc>
          <w:tcPr>
            <w:tcW w:type="dxa" w:w="1080"/>
          </w:tcPr>
          <w:p>
            <w:r>
              <w:rPr>
                <w:rFonts w:ascii="Calibri" w:hAnsi="Calibri"/>
                <w:sz w:val="22"/>
              </w:rPr>
              <w:t>$6.02–$6.12 (unchanged)</w:t>
            </w:r>
          </w:p>
        </w:tc>
        <w:tc>
          <w:tcPr>
            <w:tcW w:type="dxa" w:w="1080"/>
          </w:tcPr>
          <w:p>
            <w:r>
              <w:rPr>
                <w:rFonts w:ascii="Calibri" w:hAnsi="Calibri"/>
                <w:sz w:val="22"/>
              </w:rPr>
              <w:t>Unchanged</w:t>
            </w:r>
          </w:p>
        </w:tc>
        <w:tc>
          <w:tcPr>
            <w:tcW w:type="dxa" w:w="1080"/>
          </w:tcPr>
          <w:p>
            <w:r>
              <w:rPr>
                <w:rFonts w:ascii="Calibri" w:hAnsi="Calibri"/>
                <w:sz w:val="22"/>
              </w:rPr>
              <w:t>−0.3% vs. midpoint ($6.07)</w:t>
            </w:r>
          </w:p>
        </w:tc>
      </w:tr>
      <w:tr>
        <w:tc>
          <w:tcPr>
            <w:tcW w:type="dxa" w:w="1080"/>
          </w:tcPr>
          <w:p>
            <w:r>
              <w:rPr>
                <w:rFonts w:ascii="Calibri" w:hAnsi="Calibri"/>
                <w:sz w:val="22"/>
              </w:rPr>
              <w:t>Operating Revenues (Q2 2026, $M)</w:t>
            </w:r>
          </w:p>
        </w:tc>
        <w:tc>
          <w:tcPr>
            <w:tcW w:type="dxa" w:w="1080"/>
          </w:tcPr>
          <w:p>
            <w:r>
              <w:rPr>
                <w:rFonts w:ascii="Calibri" w:hAnsi="Calibri"/>
                <w:sz w:val="22"/>
              </w:rPr>
              <w:t>$1,394M</w:t>
            </w:r>
          </w:p>
        </w:tc>
        <w:tc>
          <w:tcPr>
            <w:tcW w:type="dxa" w:w="1080"/>
          </w:tcPr>
          <w:p>
            <w:r>
              <w:rPr>
                <w:rFonts w:ascii="Calibri" w:hAnsi="Calibri"/>
                <w:sz w:val="22"/>
              </w:rPr>
              <w:t>$1,313M</w:t>
            </w:r>
          </w:p>
        </w:tc>
        <w:tc>
          <w:tcPr>
            <w:tcW w:type="dxa" w:w="1080"/>
          </w:tcPr>
          <w:p>
            <w:r>
              <w:rPr>
                <w:rFonts w:ascii="Calibri" w:hAnsi="Calibri"/>
                <w:sz w:val="22"/>
              </w:rPr>
              <w:t>−5.8%</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Revenues (FY 2026, $M)</w:t>
            </w:r>
          </w:p>
        </w:tc>
        <w:tc>
          <w:tcPr>
            <w:tcW w:type="dxa" w:w="1080"/>
          </w:tcPr>
          <w:p>
            <w:r>
              <w:rPr>
                <w:rFonts w:ascii="Calibri" w:hAnsi="Calibri"/>
                <w:sz w:val="22"/>
              </w:rPr>
              <w:t>$5,526M</w:t>
            </w:r>
          </w:p>
        </w:tc>
        <w:tc>
          <w:tcPr>
            <w:tcW w:type="dxa" w:w="1080"/>
          </w:tcPr>
          <w:p>
            <w:r>
              <w:rPr>
                <w:rFonts w:ascii="Calibri" w:hAnsi="Calibri"/>
                <w:sz w:val="22"/>
              </w:rPr>
              <w:t>$5,413M</w:t>
            </w:r>
          </w:p>
        </w:tc>
        <w:tc>
          <w:tcPr>
            <w:tcW w:type="dxa" w:w="1080"/>
          </w:tcPr>
          <w:p>
            <w:r>
              <w:rPr>
                <w:rFonts w:ascii="Calibri" w:hAnsi="Calibri"/>
                <w:sz w:val="22"/>
              </w:rPr>
              <w:t>−2.0%</w:t>
            </w:r>
          </w:p>
        </w:tc>
        <w:tc>
          <w:tcPr>
            <w:tcW w:type="dxa" w:w="1080"/>
          </w:tcPr>
          <w:p>
            <w:r>
              <w:rPr>
                <w:rFonts w:ascii="Calibri" w:hAnsi="Calibri"/>
                <w:sz w:val="22"/>
              </w:rPr>
              <w:t>No formal rev. guidance</w:t>
            </w:r>
          </w:p>
        </w:tc>
        <w:tc>
          <w:tcPr>
            <w:tcW w:type="dxa" w:w="1080"/>
          </w:tcPr>
          <w:p>
            <w:r>
              <w:rPr>
                <w:rFonts w:ascii="Calibri" w:hAnsi="Calibri"/>
                <w:sz w:val="22"/>
              </w:rPr>
              <w:t>No formal rev.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Rate Base (Q2 2026, $B)</w:t>
            </w:r>
          </w:p>
        </w:tc>
        <w:tc>
          <w:tcPr>
            <w:tcW w:type="dxa" w:w="1080"/>
          </w:tcPr>
          <w:p>
            <w:r>
              <w:rPr>
                <w:rFonts w:ascii="Calibri" w:hAnsi="Calibri"/>
                <w:sz w:val="22"/>
              </w:rPr>
              <w:t>$24.9B</w:t>
            </w:r>
          </w:p>
        </w:tc>
        <w:tc>
          <w:tcPr>
            <w:tcW w:type="dxa" w:w="1080"/>
          </w:tcPr>
          <w:p>
            <w:r>
              <w:rPr>
                <w:rFonts w:ascii="Calibri" w:hAnsi="Calibri"/>
                <w:sz w:val="22"/>
              </w:rPr>
              <w:t>$25.3B</w:t>
            </w:r>
          </w:p>
        </w:tc>
        <w:tc>
          <w:tcPr>
            <w:tcW w:type="dxa" w:w="1080"/>
          </w:tcPr>
          <w:p>
            <w:r>
              <w:rPr>
                <w:rFonts w:ascii="Calibri" w:hAnsi="Calibri"/>
                <w:sz w:val="22"/>
              </w:rPr>
              <w:t>+1.6%</w:t>
            </w:r>
          </w:p>
        </w:tc>
        <w:tc>
          <w:tcPr>
            <w:tcW w:type="dxa" w:w="1080"/>
          </w:tcPr>
          <w:p>
            <w:r>
              <w:rPr>
                <w:rFonts w:ascii="Calibri" w:hAnsi="Calibri"/>
                <w:sz w:val="22"/>
              </w:rPr>
              <w:t>8–9% LT growth</w:t>
            </w:r>
          </w:p>
        </w:tc>
        <w:tc>
          <w:tcPr>
            <w:tcW w:type="dxa" w:w="1080"/>
          </w:tcPr>
          <w:p>
            <w:r>
              <w:rPr>
                <w:rFonts w:ascii="Calibri" w:hAnsi="Calibri"/>
                <w:sz w:val="22"/>
              </w:rPr>
              <w:t>8–9% LT growth (unchanged)</w:t>
            </w:r>
          </w:p>
        </w:tc>
        <w:tc>
          <w:tcPr>
            <w:tcW w:type="dxa" w:w="1080"/>
          </w:tcPr>
          <w:p>
            <w:r>
              <w:rPr>
                <w:rFonts w:ascii="Calibri" w:hAnsi="Calibri"/>
                <w:sz w:val="22"/>
              </w:rPr>
              <w:t>Unchanged</w:t>
            </w:r>
          </w:p>
        </w:tc>
        <w:tc>
          <w:tcPr>
            <w:tcW w:type="dxa" w:w="1080"/>
          </w:tcPr>
          <w:p>
            <w:r>
              <w:rPr>
                <w:rFonts w:ascii="Calibri" w:hAnsi="Calibri"/>
                <w:sz w:val="22"/>
              </w:rPr>
              <w:t>On track</w:t>
            </w:r>
          </w:p>
        </w:tc>
      </w:tr>
    </w:tbl>
    <w:p>
      <w:r>
        <w:rPr>
          <w:rFonts w:ascii="Calibri" w:hAnsi="Calibri"/>
          <w:color w:val="525866"/>
          <w:sz w:val="22"/>
        </w:rPr>
        <w:t xml:space="preserve">The Q2 EPS and revenue estimate reductions (~5–6%) since the Q1 print are consistent with management's explicit guidance that the majority of 2026 EPS growth is back-half weighted. Full-year EPS consensus is essentially flat since Q1 and sits at the guidance midpoint, confirming no divergence risk. Rate base estimates have actually ticked </w:t>
      </w:r>
      <w:r>
        <w:rPr>
          <w:rFonts w:ascii="Calibri" w:hAnsi="Calibri"/>
          <w:b/>
          <w:color w:val="525866"/>
          <w:sz w:val="22"/>
        </w:rPr>
        <w:t>higher</w:t>
      </w:r>
      <w:r>
        <w:rPr>
          <w:rFonts w:ascii="Calibri" w:hAnsi="Calibri"/>
          <w:color w:val="525866"/>
          <w:sz w:val="22"/>
        </w:rPr>
        <w:t xml:space="preserve"> since Q1, reflecting the Missouri and Kentucky rate filings and the Pennsylvania PUC approval.</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AWK has </w:t>
      </w:r>
      <w:r>
        <w:rPr>
          <w:rFonts w:ascii="Calibri" w:hAnsi="Calibri"/>
          <w:b/>
          <w:color w:val="525866"/>
          <w:sz w:val="22"/>
        </w:rPr>
        <w:t>outperformed XLU and the S&amp;P 500 since the Q1 print</w:t>
      </w:r>
      <w:r>
        <w:rPr>
          <w:rFonts w:ascii="Calibri" w:hAnsi="Calibri"/>
          <w:color w:val="525866"/>
          <w:sz w:val="22"/>
        </w:rPr>
        <w:t xml:space="preserve"> (+4.6% vs. XLU flat and SPY +4.2%), driven primarily by </w:t>
      </w:r>
      <w:r>
        <w:rPr>
          <w:rFonts w:ascii="Calibri" w:hAnsi="Calibri"/>
          <w:b/>
          <w:color w:val="525866"/>
          <w:sz w:val="22"/>
        </w:rPr>
        <w:t>multiple stabilization and the July 16 Pennsylvania PUC catalyst</w:t>
      </w:r>
      <w:r>
        <w:rPr>
          <w:rFonts w:ascii="Calibri" w:hAnsi="Calibri"/>
          <w:color w:val="525866"/>
          <w:sz w:val="22"/>
        </w:rPr>
        <w:t>; at ~21x NTM P/E (vs. ~23x a year ago), the stock is not pricing in a beat but is no longer pricing in a miss either.</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AWK vs. XLU (Utilities ETF) vs. S&amp;P 500 — Indexed to 100 at Q1 2026 Earnings (April 29, 2026). Source: Stock Price Data.</w:t>
      </w:r>
    </w:p>
    <w:p>
      <w:r>
        <w:rPr>
          <w:rFonts w:ascii="Calibri" w:hAnsi="Calibri"/>
          <w:b/>
          <w:color w:val="525866"/>
          <w:sz w:val="22"/>
        </w:rPr>
        <w:t>Performance Summary (April 29 – July 29, 2026):</w:t>
      </w:r>
    </w:p>
    <w:p>
      <w:pPr>
        <w:pStyle w:val="ListBullet"/>
        <w:ind w:left="360" w:hanging="360"/>
      </w:pPr>
      <w:r>
        <w:rPr>
          <w:rFonts w:ascii="Calibri" w:hAnsi="Calibri"/>
          <w:b/>
          <w:color w:val="525866"/>
          <w:sz w:val="22"/>
        </w:rPr>
        <w:t xml:space="preserve">AWK: </w:t>
      </w:r>
      <w:r>
        <w:rPr>
          <w:rFonts w:ascii="Calibri" w:hAnsi="Calibri"/>
          <w:color w:val="525866"/>
          <w:sz w:val="22"/>
        </w:rPr>
        <w:t>+4.6% ($131.97 → $138.04)</w:t>
      </w:r>
    </w:p>
    <w:p>
      <w:pPr>
        <w:pStyle w:val="ListBullet"/>
        <w:ind w:left="360" w:hanging="360"/>
      </w:pPr>
      <w:r>
        <w:rPr>
          <w:rFonts w:ascii="Calibri" w:hAnsi="Calibri"/>
          <w:b/>
          <w:color w:val="525866"/>
          <w:sz w:val="22"/>
        </w:rPr>
        <w:t xml:space="preserve">XLU (Utilities ETF): </w:t>
      </w:r>
      <w:r>
        <w:rPr>
          <w:rFonts w:ascii="Calibri" w:hAnsi="Calibri"/>
          <w:color w:val="525866"/>
          <w:sz w:val="22"/>
        </w:rPr>
        <w:t>~−0.4% ($45.68 → $45.52)</w:t>
      </w:r>
    </w:p>
    <w:p>
      <w:pPr>
        <w:pStyle w:val="ListBullet"/>
        <w:ind w:left="360" w:hanging="360"/>
      </w:pPr>
      <w:r>
        <w:rPr>
          <w:rFonts w:ascii="Calibri" w:hAnsi="Calibri"/>
          <w:b/>
          <w:color w:val="525866"/>
          <w:sz w:val="22"/>
        </w:rPr>
        <w:t xml:space="preserve">S&amp;P 500 (SPY): </w:t>
      </w:r>
      <w:r>
        <w:rPr>
          <w:rFonts w:ascii="Calibri" w:hAnsi="Calibri"/>
          <w:color w:val="525866"/>
          <w:sz w:val="22"/>
        </w:rPr>
        <w:t>+4.1% ($711.58 → $740.86)</w:t>
      </w:r>
    </w:p>
    <w:p>
      <w:r>
        <w:rPr>
          <w:rFonts w:ascii="Calibri" w:hAnsi="Calibri"/>
          <w:b/>
          <w:color w:val="525866"/>
          <w:sz w:val="22"/>
        </w:rPr>
        <w:t>Key events on chart:</w:t>
      </w:r>
    </w:p>
    <w:p>
      <w:pPr>
        <w:pStyle w:val="ListBullet"/>
        <w:ind w:left="360" w:hanging="360"/>
      </w:pPr>
      <w:r>
        <w:rPr>
          <w:rFonts w:ascii="Calibri" w:hAnsi="Calibri"/>
          <w:b/>
          <w:color w:val="525866"/>
          <w:sz w:val="22"/>
        </w:rPr>
        <w:t xml:space="preserve">May 15: </w:t>
      </w:r>
      <w:r>
        <w:rPr>
          <w:rFonts w:ascii="Calibri" w:hAnsi="Calibri"/>
          <w:color w:val="525866"/>
          <w:sz w:val="22"/>
        </w:rPr>
        <w:t>Kentucky rate filing ($17.7M request); stock dipped modestly on broader utility sector weakness.</w:t>
      </w:r>
    </w:p>
    <w:p>
      <w:pPr>
        <w:pStyle w:val="ListBullet"/>
        <w:ind w:left="360" w:hanging="360"/>
      </w:pPr>
      <w:r>
        <w:rPr>
          <w:rFonts w:ascii="Calibri" w:hAnsi="Calibri"/>
          <w:b/>
          <w:color w:val="525866"/>
          <w:sz w:val="22"/>
        </w:rPr>
        <w:t xml:space="preserve">July 1: </w:t>
      </w:r>
      <w:r>
        <w:rPr>
          <w:rFonts w:ascii="Calibri" w:hAnsi="Calibri"/>
          <w:color w:val="525866"/>
          <w:sz w:val="22"/>
        </w:rPr>
        <w:t>Missouri rate filing ($179M request); stock rallied ~3.9% on the day.</w:t>
      </w:r>
    </w:p>
    <w:p>
      <w:pPr>
        <w:pStyle w:val="ListBullet"/>
        <w:ind w:left="360" w:hanging="360"/>
      </w:pPr>
      <w:r>
        <w:rPr>
          <w:rFonts w:ascii="Calibri" w:hAnsi="Calibri"/>
          <w:b/>
          <w:color w:val="525866"/>
          <w:sz w:val="22"/>
        </w:rPr>
        <w:t xml:space="preserve">July 16: </w:t>
      </w:r>
      <w:r>
        <w:rPr>
          <w:rFonts w:ascii="Calibri" w:hAnsi="Calibri"/>
          <w:color w:val="525866"/>
          <w:sz w:val="22"/>
        </w:rPr>
        <w:t>Pennsylvania PUC approves $74.9M annual revenue increase — stock surged ~3.9% on the day, the single largest catalyst since Q1 earnings.</w:t>
      </w:r>
    </w:p>
    <w:p>
      <w:r>
        <w:rPr>
          <w:rFonts w:ascii="Calibri" w:hAnsi="Calibri"/>
          <w:b/>
          <w:color w:val="525866"/>
          <w:sz w:val="22"/>
        </w:rPr>
        <w:t xml:space="preserve">Valuation context: </w:t>
      </w:r>
      <w:r>
        <w:rPr>
          <w:rFonts w:ascii="Calibri" w:hAnsi="Calibri"/>
          <w:color w:val="525866"/>
          <w:sz w:val="22"/>
        </w:rPr>
        <w:t>NTM P/E of ~21.1x is ~9.5% below the 12-month-ago multiple of ~23.4x, reflecting lingering merger integration uncertainty. EV/EBITDA of ~12.8x is also below the 12-month-ago level of ~14.0x. The multiple de-rating has been the primary headwind to 12-month returns (−1.6%), while near-term performance (1M, 3M, 6M) has been driven by a combination of modest multiple recovery and earnings revision stability.</w:t>
      </w:r>
    </w:p>
    <w:p>
      <w:r>
        <w:rPr>
          <w:rFonts w:ascii="Calibri" w:hAnsi="Calibri"/>
          <w:i/>
          <w:color w:val="525866"/>
          <w:sz w:val="22"/>
        </w:rPr>
        <w:t>Source: Stock Price Data; Visible Alpha Consensus and Actuals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w:t>
      </w:r>
      <w:r>
        <w:rPr>
          <w:rFonts w:ascii="Calibri" w:hAnsi="Calibri"/>
          <w:b/>
          <w:color w:val="525866"/>
          <w:sz w:val="22"/>
        </w:rPr>
        <w:t>Pennsylvania PUC rate case approval (July 16)</w:t>
      </w:r>
      <w:r>
        <w:rPr>
          <w:rFonts w:ascii="Calibri" w:hAnsi="Calibri"/>
          <w:color w:val="525866"/>
          <w:sz w:val="22"/>
        </w:rPr>
        <w:t xml:space="preserve"> is the most material post-Q1 development — it removes the single largest regulatory uncertainty for 2026 and validates management's H2 earnings ramp guidance. The Missouri and Kentucky rate filings further reinforce the long-term capital recovery pipeline.</w:t>
      </w:r>
    </w:p>
    <w:p>
      <w:pPr>
        <w:pStyle w:val="ListBullet"/>
        <w:ind w:left="360" w:hanging="360"/>
      </w:pPr>
      <w:r>
        <w:rPr>
          <w:rFonts w:ascii="Calibri" w:hAnsi="Calibri"/>
          <w:b/>
          <w:color w:val="525866"/>
          <w:sz w:val="22"/>
        </w:rPr>
        <w:t xml:space="preserve">July 16, 2026 — Pennsylvania PUC Approves $74.9M Annual Revenue Increase (8-K): </w:t>
      </w:r>
      <w:r>
        <w:rPr>
          <w:rFonts w:ascii="Calibri" w:hAnsi="Calibri"/>
          <w:color w:val="525866"/>
          <w:sz w:val="22"/>
        </w:rPr>
        <w:t xml:space="preserve">The Pennsylvania Public Utility Commission issued its final order approving a $74.9M annual revenue increase for Pennsylvania American Water. New rates are effective August 2026. This was the most anticipated regulatory event of the year and validates management's Q1 guidance that H2 earnings would be materially higher. PaPUC Chairman DeFrank specifically commended AWK's work assisting troubled water systems. </w:t>
      </w:r>
    </w:p>
    <w:p>
      <w:pPr>
        <w:pStyle w:val="ListBullet"/>
        <w:ind w:left="360" w:hanging="360"/>
      </w:pPr>
      <w:r>
        <w:rPr>
          <w:rFonts w:ascii="Calibri" w:hAnsi="Calibri"/>
          <w:b/>
          <w:color w:val="525866"/>
          <w:sz w:val="22"/>
        </w:rPr>
        <w:t xml:space="preserve">July 6 / July 1, 2026 — Missouri American Water Files $179M Rate Increase Request (8-K/8-K/A): </w:t>
      </w:r>
      <w:r>
        <w:rPr>
          <w:rFonts w:ascii="Calibri" w:hAnsi="Calibri"/>
          <w:color w:val="525866"/>
          <w:sz w:val="22"/>
        </w:rPr>
        <w:t>Missouri American Water filed for a $179M rate increase with the Missouri Public Service Commission, supporting ~$1.6B in water and wastewater investments from June 2025 through May 2028. The 11-month review process means new rates could take effect June 2027. This is a meaningful addition to the long-term rate base growth pipeline.</w:t>
      </w:r>
    </w:p>
    <w:p>
      <w:pPr>
        <w:pStyle w:val="ListBullet"/>
        <w:ind w:left="360" w:hanging="360"/>
      </w:pPr>
      <w:r>
        <w:rPr>
          <w:rFonts w:ascii="Calibri" w:hAnsi="Calibri"/>
          <w:b/>
          <w:color w:val="525866"/>
          <w:sz w:val="22"/>
        </w:rPr>
        <w:t xml:space="preserve">May 15, 2026 — Kentucky American Water Files $17.7M Rate Request (8-K): </w:t>
      </w:r>
      <w:r>
        <w:rPr>
          <w:rFonts w:ascii="Calibri" w:hAnsi="Calibri"/>
          <w:color w:val="525866"/>
          <w:sz w:val="22"/>
        </w:rPr>
        <w:t>Kentucky American Water filed for a $17.7M rate increase with the Kentucky PSC, supporting ~$108M in infrastructure investments. Interim rates expected December 2026. Consistent with AWK's annual rate case cadence.</w:t>
      </w:r>
    </w:p>
    <w:p>
      <w:pPr>
        <w:pStyle w:val="ListBullet"/>
        <w:ind w:left="360" w:hanging="360"/>
      </w:pPr>
      <w:r>
        <w:rPr>
          <w:rFonts w:ascii="Calibri" w:hAnsi="Calibri"/>
          <w:b/>
          <w:color w:val="525866"/>
          <w:sz w:val="22"/>
        </w:rPr>
        <w:t xml:space="preserve">May 15, 2026 — Ohio Merger Approval for Essential Utilities (WTRG 8-K): </w:t>
      </w:r>
      <w:r>
        <w:rPr>
          <w:rFonts w:ascii="Calibri" w:hAnsi="Calibri"/>
          <w:color w:val="525866"/>
          <w:sz w:val="22"/>
        </w:rPr>
        <w:t>Ohio regulators approved the Essential Utilities / American Water merger, adding to the Kentucky approval received in Q1. Seven state approvals are required; progress is tracking toward the Q1 2027 close target.</w:t>
      </w:r>
    </w:p>
    <w:p>
      <w:pPr>
        <w:pStyle w:val="ListBullet"/>
        <w:ind w:left="360" w:hanging="360"/>
      </w:pPr>
      <w:r>
        <w:rPr>
          <w:rFonts w:ascii="Calibri" w:hAnsi="Calibri"/>
          <w:b/>
          <w:color w:val="525866"/>
          <w:sz w:val="22"/>
        </w:rPr>
        <w:t xml:space="preserve">April 1, 2026 — AWK Issues $700M in 5.200% Senior Notes Due 2036 (8-K): </w:t>
      </w:r>
      <w:r>
        <w:rPr>
          <w:rFonts w:ascii="Calibri" w:hAnsi="Calibri"/>
          <w:color w:val="525866"/>
          <w:sz w:val="22"/>
        </w:rPr>
        <w:t>American Water Capital Corp. issued $700M in senior notes, consistent with the financing plan outlined on the Q1 call (long-term debt issuance planned for H2 2026 in addition to the equity forward settlement).</w:t>
      </w:r>
    </w:p>
    <w:p>
      <w:pPr>
        <w:pStyle w:val="ListBullet"/>
        <w:ind w:left="360" w:hanging="360"/>
      </w:pPr>
      <w:r>
        <w:rPr>
          <w:rFonts w:ascii="Calibri" w:hAnsi="Calibri"/>
          <w:b/>
          <w:color w:val="525866"/>
          <w:sz w:val="22"/>
        </w:rPr>
        <w:t xml:space="preserve">Ongoing — Utility Rate Freeze Legislation Risk (Ohio): </w:t>
      </w:r>
      <w:r>
        <w:rPr>
          <w:rFonts w:ascii="Calibri" w:hAnsi="Calibri"/>
          <w:color w:val="525866"/>
          <w:sz w:val="22"/>
        </w:rPr>
        <w:t>Ohio state Rep. Desiree Tims introduced a bill to freeze utility rate increases for one year. AWK has limited Ohio exposure, but the political environment around utility affordability is worth monitoring as it could influence regulatory posture in other states.</w:t>
      </w:r>
    </w:p>
    <w:p>
      <w:pPr>
        <w:pStyle w:val="ListBullet"/>
        <w:ind w:left="360" w:hanging="360"/>
      </w:pPr>
      <w:r>
        <w:rPr>
          <w:rFonts w:ascii="Calibri" w:hAnsi="Calibri"/>
          <w:b/>
          <w:color w:val="525866"/>
          <w:sz w:val="22"/>
        </w:rPr>
        <w:t xml:space="preserve">Ongoing — PFAS / Lead Compliance Investment Tailwind: </w:t>
      </w:r>
      <w:r>
        <w:rPr>
          <w:rFonts w:ascii="Calibri" w:hAnsi="Calibri"/>
          <w:color w:val="525866"/>
          <w:sz w:val="22"/>
        </w:rPr>
        <w:t>AWK's expanded 5-year capex plan ($19–$20B) and 10-year plan ($46–$48B) are driven in part by PFAS treatment and lead service line replacement mandates. No new regulatory developments since Q1, but this remains a multi-year structural tailwind for rate base growth.</w:t>
      </w:r>
    </w:p>
    <w:p>
      <w:r>
        <w:br w:type="page"/>
      </w:r>
    </w:p>
    <w:p>
      <w:pPr>
        <w:pStyle w:val="Heading2"/>
      </w:pPr>
      <w:r>
        <w:rPr>
          <w:rFonts w:ascii="Calibri" w:hAnsi="Calibri"/>
          <w:b/>
          <w:color w:val="3B4259"/>
          <w:sz w:val="28"/>
        </w:rPr>
        <w:t>7. Peer Commentary / Read-Throughs (Last 60 Days)</w:t>
      </w:r>
    </w:p>
    <w:p>
      <w:r>
        <w:rPr>
          <w:rFonts w:ascii="Calibri" w:hAnsi="Calibri"/>
          <w:b/>
          <w:color w:val="525866"/>
          <w:sz w:val="22"/>
        </w:rPr>
        <w:t xml:space="preserve">Key Takeaway: </w:t>
      </w:r>
      <w:r>
        <w:rPr>
          <w:rFonts w:ascii="Calibri" w:hAnsi="Calibri"/>
          <w:color w:val="525866"/>
          <w:sz w:val="22"/>
        </w:rPr>
        <w:t xml:space="preserve">Direct water-utility peers (WTRG, CWT, AWR) have </w:t>
      </w:r>
      <w:r>
        <w:rPr>
          <w:rFonts w:ascii="Calibri" w:hAnsi="Calibri"/>
          <w:b/>
          <w:color w:val="525866"/>
          <w:sz w:val="22"/>
        </w:rPr>
        <w:t>not yet reported Q2 2026</w:t>
      </w:r>
      <w:r>
        <w:rPr>
          <w:rFonts w:ascii="Calibri" w:hAnsi="Calibri"/>
          <w:color w:val="525866"/>
          <w:sz w:val="22"/>
        </w:rPr>
        <w:t xml:space="preserve"> and provided limited current-quarter-specific commentary in their Q1 calls. The most actionable read-throughs come from adjacent regulated utilities (NEE, PCG, CNP, DTE) that have reported Q2 2026 results, with broadly </w:t>
      </w:r>
      <w:r>
        <w:rPr>
          <w:rFonts w:ascii="Calibri" w:hAnsi="Calibri"/>
          <w:b/>
          <w:color w:val="525866"/>
          <w:sz w:val="22"/>
        </w:rPr>
        <w:t>constructive signals on regulatory recovery, capital plan execution, and O&amp;M discipline</w:t>
      </w:r>
      <w:r>
        <w:rPr>
          <w:rFonts w:ascii="Calibri" w:hAnsi="Calibri"/>
          <w:color w:val="525866"/>
          <w:sz w:val="22"/>
        </w:rPr>
        <w:t xml:space="preserve"> — all directly relevant to AWK's Q2 setup.</w:t>
      </w:r>
    </w:p>
    <w:p>
      <w:pPr>
        <w:pStyle w:val="Heading3"/>
      </w:pPr>
      <w:r>
        <w:rPr>
          <w:rFonts w:ascii="Calibri" w:hAnsi="Calibri"/>
          <w:b/>
          <w:color w:val="3B4259"/>
          <w:sz w:val="24"/>
        </w:rPr>
        <w:t>A. Direct Water Utility Peers — Q2 2026 Commentary Availability</w:t>
      </w:r>
    </w:p>
    <w:p>
      <w:r>
        <w:rPr>
          <w:rFonts w:ascii="Calibri" w:hAnsi="Calibri"/>
          <w:b/>
          <w:color w:val="525866"/>
          <w:sz w:val="22"/>
        </w:rPr>
        <w:t xml:space="preserve">Note: </w:t>
      </w:r>
      <w:r>
        <w:rPr>
          <w:rFonts w:ascii="Calibri" w:hAnsi="Calibri"/>
          <w:i/>
          <w:color w:val="525866"/>
          <w:sz w:val="22"/>
        </w:rPr>
        <w:t>None of AWK's direct water utility peers (WTRG/Essential Utilities, CWT/California Water Service, AWR/American States Water) have reported Q2 2026 results as of July 28, 2026. The commentary below is drawn from their Q1 2026 earnings calls (May 2026) and post-Q1 regulatory filings, which contain forward-looking commentary about the current Q2/H2 2026 period. Commentary about Q1 2026 results themselves is excluded.</w:t>
      </w:r>
    </w:p>
    <w:p>
      <w:pPr>
        <w:pStyle w:val="ListBullet"/>
        <w:ind w:left="360" w:hanging="360"/>
      </w:pPr>
      <w:r>
        <w:rPr>
          <w:rFonts w:ascii="Calibri" w:hAnsi="Calibri"/>
          <w:b/>
          <w:color w:val="525866"/>
          <w:sz w:val="22"/>
        </w:rPr>
        <w:t xml:space="preserve">WTRG (Essential Utilities) — Q1 2026 Call (May 7, 2026) — H2 2026 Outlook: </w:t>
      </w:r>
      <w:r>
        <w:rPr>
          <w:rFonts w:ascii="Calibri" w:hAnsi="Calibri"/>
          <w:b/>
          <w:color w:val="30A46C"/>
          <w:sz w:val="22"/>
        </w:rPr>
        <w:t xml:space="preserve">Management reaffirmed 5–7% annual EPS growth through 2027 and confirmed the company is "on track" to deploy $1.7B in capital by year-end. Notably, WTRG has 5 water/wastewater rate cases pending for ~$102M in annualized increases, with updates expected in August — a direct read-through for AWK's own pending New Jersey case. On the AWK merger, WTRG confirmed the process is "proceeding as normal" with no unexpected developments, and the Pennsylvania formal commission process was expected to move forward "over the summer." O&amp;M expense increases are expected to be "in line with historic norms" when adjusted for weather and nonrecurring items. </w:t>
      </w:r>
    </w:p>
    <w:p>
      <w:pPr>
        <w:pStyle w:val="ListBullet"/>
        <w:ind w:left="360" w:hanging="360"/>
      </w:pPr>
      <w:r>
        <w:rPr>
          <w:rFonts w:ascii="Calibri" w:hAnsi="Calibri"/>
          <w:b/>
          <w:color w:val="525866"/>
          <w:sz w:val="22"/>
        </w:rPr>
        <w:t xml:space="preserve">CWT (California Water Service) — April 30, 2026 Rate Case Decision: </w:t>
      </w:r>
      <w:r>
        <w:rPr>
          <w:rFonts w:ascii="Calibri" w:hAnsi="Calibri"/>
          <w:color w:val="525866"/>
          <w:sz w:val="22"/>
        </w:rPr>
        <w:t>Cal Water received its final CPUC decision on its 2024 General Rate Case, authorizing a $90.5M revenue increase (10.9% rate increase) effective July 1, 2026. The decision also established a new sales reconciliation mechanism and renewed the Monterey-style Water Revenue Adjustment Mechanism. This is a positive read-through for AWK's California operations and demonstrates that the CPUC is willing to approve meaningful rate increases to support infrastructure investment. CWT has not yet provided Q2-specific forward guidance.</w:t>
      </w:r>
    </w:p>
    <w:p>
      <w:pPr>
        <w:pStyle w:val="ListBullet"/>
        <w:ind w:left="360" w:hanging="360"/>
      </w:pPr>
      <w:r>
        <w:rPr>
          <w:rFonts w:ascii="Calibri" w:hAnsi="Calibri"/>
          <w:b/>
          <w:color w:val="525866"/>
          <w:sz w:val="22"/>
        </w:rPr>
        <w:t xml:space="preserve">AWR (American States Water) — Q1 2026 Call (May 7, 2026) — H2 2026 Outlook: </w:t>
      </w:r>
      <w:r>
        <w:rPr>
          <w:rFonts w:ascii="Calibri" w:hAnsi="Calibri"/>
          <w:color w:val="525866"/>
          <w:sz w:val="22"/>
        </w:rPr>
        <w:t>AWR management noted they are "preparing" their next water rate case for filing by July 1, 2026 (now filed). Full-year 2026 capex guidance of $185–$225M was maintained. ASUS (military services segment) is projected to contribute $0.63–$0.67 per share for the full year. No Q2-specific revenue or earnings guidance was provided. AWR reports Q2 2026 results in late July/early August.</w:t>
      </w:r>
    </w:p>
    <w:p>
      <w:pPr>
        <w:pStyle w:val="Heading3"/>
      </w:pPr>
      <w:r>
        <w:rPr>
          <w:rFonts w:ascii="Calibri" w:hAnsi="Calibri"/>
          <w:b/>
          <w:color w:val="3B4259"/>
          <w:sz w:val="24"/>
        </w:rPr>
        <w:t>B. Adjacent Regulated Utility Q2 2026 Read-Throughs</w:t>
      </w:r>
    </w:p>
    <w:p>
      <w:r>
        <w:rPr>
          <w:rFonts w:ascii="Calibri" w:hAnsi="Calibri"/>
          <w:color w:val="525866"/>
          <w:sz w:val="22"/>
        </w:rPr>
        <w:t>The following peers have reported Q2 2026 results and provide relevant read-throughs for AWK on regulatory recovery, O&amp;M, and capital execution. Data center / power load commentary is excluded as not applicable to a water utility.</w:t>
      </w:r>
    </w:p>
    <w:p>
      <w:pPr>
        <w:pStyle w:val="ListBullet"/>
        <w:ind w:left="360" w:hanging="360"/>
      </w:pPr>
      <w:r>
        <w:rPr>
          <w:rFonts w:ascii="Calibri" w:hAnsi="Calibri"/>
          <w:b/>
          <w:color w:val="525866"/>
          <w:sz w:val="22"/>
        </w:rPr>
        <w:t xml:space="preserve">NEE (NextEra Energy) — Q2 2026 Results (July 24, 2026) — Regulatory ROE &amp; Capital Execution: </w:t>
      </w:r>
      <w:r>
        <w:rPr>
          <w:rFonts w:ascii="Calibri" w:hAnsi="Calibri"/>
          <w:b/>
          <w:color w:val="30A46C"/>
          <w:sz w:val="22"/>
        </w:rPr>
        <w:t xml:space="preserve">FPL reported regulatory ROE of ~11.7% in Q2 2026, a strong benchmark for regulated utility returns. FPL's regulatory capital employed grew ~9.3% YoY, a direct driver of EPS growth — the same mechanism AWK relies on. Weather-normalized retail sales grew 0.6% YoY, driven by population growth, suggesting benign weather impact on utility demand in Q2. FPL's nonfuel O&amp;M is "more than 70% better than the industry average," underscoring the value of operational efficiency in regulated utilities. </w:t>
      </w:r>
      <w:r>
        <w:rPr>
          <w:rFonts w:ascii="Calibri" w:hAnsi="Calibri"/>
          <w:b/>
          <w:color w:val="525866"/>
          <w:sz w:val="22"/>
        </w:rPr>
        <w:t xml:space="preserve">AWK read-through: </w:t>
      </w:r>
      <w:r>
        <w:rPr>
          <w:rFonts w:ascii="Calibri" w:hAnsi="Calibri"/>
          <w:color w:val="525866"/>
          <w:sz w:val="22"/>
        </w:rPr>
        <w:t>Constructive — strong regulatory ROE and rate base growth driving EPS is the same model AWK operates. Benign weather impact on demand is a mild positive for water volumes.</w:t>
      </w:r>
    </w:p>
    <w:p>
      <w:pPr>
        <w:pStyle w:val="ListBullet"/>
        <w:ind w:left="360" w:hanging="360"/>
      </w:pPr>
      <w:r>
        <w:rPr>
          <w:rFonts w:ascii="Calibri" w:hAnsi="Calibri"/>
          <w:b/>
          <w:color w:val="525866"/>
          <w:sz w:val="22"/>
        </w:rPr>
        <w:t xml:space="preserve">PCG (PG&amp;E) — Q2 2026 Results (July 22–23, 2026) — Rate Case Progress &amp; O&amp;M Discipline: </w:t>
      </w:r>
      <w:r>
        <w:rPr>
          <w:rFonts w:ascii="Calibri" w:hAnsi="Calibri"/>
          <w:b/>
          <w:color w:val="30A46C"/>
          <w:sz w:val="22"/>
        </w:rPr>
        <w:t xml:space="preserve">PCG reported Q2 adjusted EPS of $0.40 vs. $0.36 consensus (beat), driven by higher rates following a favorable rate case decision and strong power demand. PCG is making "steady progress" on its 2027 GRC and has filed for interim rate recovery effective January 2027. O&amp;M savings of &gt;$40M YTD from sourcing/procurement initiatives contributed net $0.03 to core EPS. PCG targets 2–4% annual nonfuel O&amp;M reductions. </w:t>
      </w:r>
      <w:r>
        <w:rPr>
          <w:rFonts w:ascii="Calibri" w:hAnsi="Calibri"/>
          <w:b/>
          <w:color w:val="525866"/>
          <w:sz w:val="22"/>
        </w:rPr>
        <w:t xml:space="preserve">AWK read-through: </w:t>
      </w:r>
      <w:r>
        <w:rPr>
          <w:rFonts w:ascii="Calibri" w:hAnsi="Calibri"/>
          <w:color w:val="525866"/>
          <w:sz w:val="22"/>
        </w:rPr>
        <w:t>Constructive — demonstrates that regulators are approving meaningful rate increases to support infrastructure investment, and that O&amp;M discipline can be a meaningful EPS contributor. AWK's own O&amp;M management will be a focus on the Q2 call.</w:t>
      </w:r>
    </w:p>
    <w:p>
      <w:pPr>
        <w:pStyle w:val="ListBullet"/>
        <w:ind w:left="360" w:hanging="360"/>
      </w:pPr>
      <w:r>
        <w:rPr>
          <w:rFonts w:ascii="Calibri" w:hAnsi="Calibri"/>
          <w:b/>
          <w:color w:val="525866"/>
          <w:sz w:val="22"/>
        </w:rPr>
        <w:t xml:space="preserve">CNP (CenterPoint Energy) — Q2 2026 Results (July 28, 2026) — Rate Recovery &amp; Capital Plan: </w:t>
      </w:r>
      <w:r>
        <w:rPr>
          <w:rFonts w:ascii="Calibri" w:hAnsi="Calibri"/>
          <w:b/>
          <w:color w:val="30A46C"/>
          <w:sz w:val="22"/>
        </w:rPr>
        <w:t xml:space="preserve">Rate recovery contributed $0.10 of EPS favorability in Q2, driven by rate case implementations and interim filing mechanisms. CNP invested $1.5B in Q2 (~40% of full-year plan), remaining on track for $6.8B full-year capex. CNP raised its 10-year capital plan by $1.2B (to $66.7B) and expects to fund incremental investments without additional equity, supported by CAMT rule clarification. O&amp;M was $0.02 favorable due to efficiency initiatives. </w:t>
      </w:r>
      <w:r>
        <w:rPr>
          <w:rFonts w:ascii="Calibri" w:hAnsi="Calibri"/>
          <w:b/>
          <w:color w:val="525866"/>
          <w:sz w:val="22"/>
        </w:rPr>
        <w:t xml:space="preserve">AWK read-through: </w:t>
      </w:r>
      <w:r>
        <w:rPr>
          <w:rFonts w:ascii="Calibri" w:hAnsi="Calibri"/>
          <w:color w:val="525866"/>
          <w:sz w:val="22"/>
        </w:rPr>
        <w:t>Constructive — rate recovery mechanisms working as expected, capital plan execution on track, and CAMT benefit (AWK disclosed ~$100M annual CAMT cash benefit on Q1 call) is a real and recognized tailwind across regulated utilities.</w:t>
      </w:r>
    </w:p>
    <w:p>
      <w:pPr>
        <w:pStyle w:val="ListBullet"/>
        <w:ind w:left="360" w:hanging="360"/>
      </w:pPr>
      <w:r>
        <w:rPr>
          <w:rFonts w:ascii="Calibri" w:hAnsi="Calibri"/>
          <w:b/>
          <w:color w:val="525866"/>
          <w:sz w:val="22"/>
        </w:rPr>
        <w:t xml:space="preserve">DTE Energy — Q2 2026 Results (July 28, 2026) — Weather Impact &amp; Infrastructure Investment: </w:t>
      </w:r>
      <w:r>
        <w:rPr>
          <w:rFonts w:ascii="Calibri" w:hAnsi="Calibri"/>
          <w:b/>
          <w:color w:val="E5484D"/>
          <w:sz w:val="22"/>
        </w:rPr>
        <w:t xml:space="preserve">DTE noted "mild first half weather" as a challenge to 2026 EPS, with colder-than-normal weather in Q2 partially offsetting electric earnings. A severe July storm impacted ~400K customers, with storm restoration costs a headwind. However, DTE noted that "areas where we have completed substantial reliability investments performed significantly better," validating the ROI on infrastructure spending. DTE remains on track for its full-year capital plan. </w:t>
      </w:r>
      <w:r>
        <w:rPr>
          <w:rFonts w:ascii="Calibri" w:hAnsi="Calibri"/>
          <w:b/>
          <w:color w:val="525866"/>
          <w:sz w:val="22"/>
        </w:rPr>
        <w:t xml:space="preserve">AWK read-through: </w:t>
      </w:r>
      <w:r>
        <w:rPr>
          <w:rFonts w:ascii="Calibri" w:hAnsi="Calibri"/>
          <w:color w:val="525866"/>
          <w:sz w:val="22"/>
        </w:rPr>
        <w:t>Mixed — mild weather is a modest negative for water demand (lower outdoor usage), but infrastructure investment ROI validation is a positive read-through for AWK's capital program. Storm costs are less relevant for a water utility.</w:t>
      </w:r>
    </w:p>
    <w:p>
      <w:pPr>
        <w:pStyle w:val="ListBullet"/>
        <w:ind w:left="360" w:hanging="360"/>
      </w:pPr>
      <w:r>
        <w:rPr>
          <w:rFonts w:ascii="Calibri" w:hAnsi="Calibri"/>
          <w:b/>
          <w:color w:val="525866"/>
          <w:sz w:val="22"/>
        </w:rPr>
        <w:t xml:space="preserve">CMS Energy — Q2 2026 Results (July 28, 2026) — Guidance &amp; Earnings Quality: </w:t>
      </w:r>
      <w:r>
        <w:rPr>
          <w:rFonts w:ascii="Calibri" w:hAnsi="Calibri"/>
          <w:b/>
          <w:color w:val="002FA7"/>
          <w:sz w:val="22"/>
        </w:rPr>
        <w:t xml:space="preserve">CMS narrowly beat Q2 estimates (37 cents vs. 36 cents consensus) but reaffirmed full-year guidance of $3.83–$3.90 per share. CMS also provided 2027 guidance of $4.08–$4.17 (midpoint below consensus of $4.17) and announced it would exit non-utility renewables development to focus on its regulated business. </w:t>
      </w:r>
      <w:r>
        <w:rPr>
          <w:rFonts w:ascii="Calibri" w:hAnsi="Calibri"/>
          <w:b/>
          <w:color w:val="525866"/>
          <w:sz w:val="22"/>
        </w:rPr>
        <w:t xml:space="preserve">AWK read-through: </w:t>
      </w:r>
      <w:r>
        <w:rPr>
          <w:rFonts w:ascii="Calibri" w:hAnsi="Calibri"/>
          <w:color w:val="525866"/>
          <w:sz w:val="22"/>
        </w:rPr>
        <w:t>Neutral — CMS's decision to focus on regulated operations reinforces the premium valuation thesis for pure-play regulated utilities like AWK. The modest 2027 guidance miss is CMS-specific and not a read-through for AWK.</w:t>
      </w:r>
    </w:p>
    <w:p>
      <w:pPr>
        <w:pStyle w:val="Heading3"/>
      </w:pPr>
      <w:r>
        <w:rPr>
          <w:rFonts w:ascii="Calibri" w:hAnsi="Calibri"/>
          <w:b/>
          <w:color w:val="3B4259"/>
          <w:sz w:val="24"/>
        </w:rPr>
        <w:t>C. Broader Utility Sector Themes Relevant to AWK</w:t>
      </w:r>
    </w:p>
    <w:p>
      <w:pPr>
        <w:pStyle w:val="ListBullet"/>
        <w:ind w:left="360" w:hanging="360"/>
      </w:pPr>
      <w:r>
        <w:rPr>
          <w:rFonts w:ascii="Calibri" w:hAnsi="Calibri"/>
          <w:b/>
          <w:color w:val="525866"/>
          <w:sz w:val="22"/>
        </w:rPr>
        <w:t xml:space="preserve">Duke Energy Rate Settlement (July 17, 2026): </w:t>
      </w:r>
      <w:r>
        <w:rPr>
          <w:rFonts w:ascii="Calibri" w:hAnsi="Calibri"/>
          <w:color w:val="525866"/>
          <w:sz w:val="22"/>
        </w:rPr>
        <w:t>Duke Energy Carolinas reached a comprehensive rate settlement with North Carolina regulators, reducing its proposed residential rate increase from ~18% to ~9.5% following public pushback. This highlights the political sensitivity around utility rate increases and the importance of proactive stakeholder engagement — relevant context for AWK's pending New Jersey and future rate cases. AWK's Q1 call noted engagement with Pennsylvania Governor's Special Counsel on affordability.</w:t>
      </w:r>
    </w:p>
    <w:p>
      <w:pPr>
        <w:pStyle w:val="ListBullet"/>
        <w:ind w:left="360" w:hanging="360"/>
      </w:pPr>
      <w:r>
        <w:rPr>
          <w:rFonts w:ascii="Calibri" w:hAnsi="Calibri"/>
          <w:b/>
          <w:color w:val="525866"/>
          <w:sz w:val="22"/>
        </w:rPr>
        <w:t xml:space="preserve">Utility Consolidation Trend (July 17, 2026): </w:t>
      </w:r>
      <w:r>
        <w:rPr>
          <w:rFonts w:ascii="Calibri" w:hAnsi="Calibri"/>
          <w:color w:val="525866"/>
          <w:sz w:val="22"/>
        </w:rPr>
        <w:t>Industry commentary noted that smaller utilities ($5–15B market cap) lacking balance sheet strength to meet AI-driven grid demands may consider mergers or PE transactions. AWK's merger with Essential Utilities is consistent with this consolidation theme and positions the combined entity as a scale leader in water utility consolidation.</w:t>
      </w:r>
    </w:p>
    <w:p>
      <w:pPr>
        <w:pStyle w:val="ListBullet"/>
        <w:ind w:left="360" w:hanging="360"/>
      </w:pPr>
      <w:r>
        <w:rPr>
          <w:rFonts w:ascii="Calibri" w:hAnsi="Calibri"/>
          <w:b/>
          <w:color w:val="525866"/>
          <w:sz w:val="22"/>
        </w:rPr>
        <w:t xml:space="preserve">Ohio Utility Rate Freeze Legislation (July 28, 2026): </w:t>
      </w:r>
      <w:r>
        <w:rPr>
          <w:rFonts w:ascii="Calibri" w:hAnsi="Calibri"/>
          <w:color w:val="525866"/>
          <w:sz w:val="22"/>
        </w:rPr>
        <w:t>Ohio state Rep. Tims introduced a bill to freeze utility rate increases for one year. AWK has limited Ohio exposure, but the political environment around utility affordability is a sector-wide risk to monitor.</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sales by executives since Q1 earnings. The only Form 4 activity is routine director equity compensation grants (transaction code "A") on May 13, 2026 — </w:t>
      </w:r>
      <w:r>
        <w:rPr>
          <w:rFonts w:ascii="Calibri" w:hAnsi="Calibri"/>
          <w:b/>
          <w:color w:val="525866"/>
          <w:sz w:val="22"/>
        </w:rPr>
        <w:t>no insider signal, positive or negative</w:t>
      </w:r>
      <w:r>
        <w:rPr>
          <w:rFonts w:ascii="Calibri" w:hAnsi="Calibri"/>
          <w:color w:val="525866"/>
          <w:sz w:val="22"/>
        </w:rPr>
        <w: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Edwards, Jeffrey N.</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1,374</w:t>
            </w:r>
          </w:p>
        </w:tc>
        <w:tc>
          <w:tcPr>
            <w:tcW w:type="dxa" w:w="1440"/>
          </w:tcPr>
          <w:p>
            <w:r>
              <w:rPr>
                <w:rFonts w:ascii="Calibri" w:hAnsi="Calibri"/>
                <w:sz w:val="22"/>
              </w:rPr>
              <w:t>May 13, 2026</w:t>
            </w:r>
          </w:p>
        </w:tc>
        <w:tc>
          <w:tcPr>
            <w:tcW w:type="dxa" w:w="1440"/>
          </w:tcPr>
          <w:p>
            <w:r>
              <w:rPr>
                <w:rFonts w:ascii="Calibri" w:hAnsi="Calibri"/>
                <w:sz w:val="22"/>
              </w:rPr>
              <w:t>Routine annual director equity compensation; not a discretionary purchase.</w:t>
            </w:r>
          </w:p>
        </w:tc>
      </w:tr>
      <w:tr>
        <w:tc>
          <w:tcPr>
            <w:tcW w:type="dxa" w:w="1440"/>
          </w:tcPr>
          <w:p>
            <w:r>
              <w:rPr>
                <w:rFonts w:ascii="Calibri" w:hAnsi="Calibri"/>
                <w:sz w:val="22"/>
              </w:rPr>
              <w:t>Grow, Lisa A.</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1,374</w:t>
            </w:r>
          </w:p>
        </w:tc>
        <w:tc>
          <w:tcPr>
            <w:tcW w:type="dxa" w:w="1440"/>
          </w:tcPr>
          <w:p>
            <w:r>
              <w:rPr>
                <w:rFonts w:ascii="Calibri" w:hAnsi="Calibri"/>
                <w:sz w:val="22"/>
              </w:rPr>
              <w:t>May 13, 2026</w:t>
            </w:r>
          </w:p>
        </w:tc>
        <w:tc>
          <w:tcPr>
            <w:tcW w:type="dxa" w:w="1440"/>
          </w:tcPr>
          <w:p>
            <w:r>
              <w:rPr>
                <w:rFonts w:ascii="Calibri" w:hAnsi="Calibri"/>
                <w:sz w:val="22"/>
              </w:rPr>
              <w:t>Routine annual director equity compensation.</w:t>
            </w:r>
          </w:p>
        </w:tc>
      </w:tr>
      <w:tr>
        <w:tc>
          <w:tcPr>
            <w:tcW w:type="dxa" w:w="1440"/>
          </w:tcPr>
          <w:p>
            <w:r>
              <w:rPr>
                <w:rFonts w:ascii="Calibri" w:hAnsi="Calibri"/>
                <w:sz w:val="22"/>
              </w:rPr>
              <w:t>Havanec, Laurie P.</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1,374</w:t>
            </w:r>
          </w:p>
        </w:tc>
        <w:tc>
          <w:tcPr>
            <w:tcW w:type="dxa" w:w="1440"/>
          </w:tcPr>
          <w:p>
            <w:r>
              <w:rPr>
                <w:rFonts w:ascii="Calibri" w:hAnsi="Calibri"/>
                <w:sz w:val="22"/>
              </w:rPr>
              <w:t>May 13, 2026</w:t>
            </w:r>
          </w:p>
        </w:tc>
        <w:tc>
          <w:tcPr>
            <w:tcW w:type="dxa" w:w="1440"/>
          </w:tcPr>
          <w:p>
            <w:r>
              <w:rPr>
                <w:rFonts w:ascii="Calibri" w:hAnsi="Calibri"/>
                <w:sz w:val="22"/>
              </w:rPr>
              <w:t>Routine annual director equity compensation.</w:t>
            </w:r>
          </w:p>
        </w:tc>
      </w:tr>
      <w:tr>
        <w:tc>
          <w:tcPr>
            <w:tcW w:type="dxa" w:w="1440"/>
          </w:tcPr>
          <w:p>
            <w:r>
              <w:rPr>
                <w:rFonts w:ascii="Calibri" w:hAnsi="Calibri"/>
                <w:sz w:val="22"/>
              </w:rPr>
              <w:t>Johnson, Julia L.</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1,374</w:t>
            </w:r>
          </w:p>
        </w:tc>
        <w:tc>
          <w:tcPr>
            <w:tcW w:type="dxa" w:w="1440"/>
          </w:tcPr>
          <w:p>
            <w:r>
              <w:rPr>
                <w:rFonts w:ascii="Calibri" w:hAnsi="Calibri"/>
                <w:sz w:val="22"/>
              </w:rPr>
              <w:t>May 13, 2026</w:t>
            </w:r>
          </w:p>
        </w:tc>
        <w:tc>
          <w:tcPr>
            <w:tcW w:type="dxa" w:w="1440"/>
          </w:tcPr>
          <w:p>
            <w:r>
              <w:rPr>
                <w:rFonts w:ascii="Calibri" w:hAnsi="Calibri"/>
                <w:sz w:val="22"/>
              </w:rPr>
              <w:t>Routine annual director equity compensation.</w:t>
            </w:r>
          </w:p>
        </w:tc>
      </w:tr>
      <w:tr>
        <w:tc>
          <w:tcPr>
            <w:tcW w:type="dxa" w:w="1440"/>
          </w:tcPr>
          <w:p>
            <w:r>
              <w:rPr>
                <w:rFonts w:ascii="Calibri" w:hAnsi="Calibri"/>
                <w:sz w:val="22"/>
              </w:rPr>
              <w:t>Kampling, Patricia L.</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1,374</w:t>
            </w:r>
          </w:p>
        </w:tc>
        <w:tc>
          <w:tcPr>
            <w:tcW w:type="dxa" w:w="1440"/>
          </w:tcPr>
          <w:p>
            <w:r>
              <w:rPr>
                <w:rFonts w:ascii="Calibri" w:hAnsi="Calibri"/>
                <w:sz w:val="22"/>
              </w:rPr>
              <w:t>May 13, 2026</w:t>
            </w:r>
          </w:p>
        </w:tc>
        <w:tc>
          <w:tcPr>
            <w:tcW w:type="dxa" w:w="1440"/>
          </w:tcPr>
          <w:p>
            <w:r>
              <w:rPr>
                <w:rFonts w:ascii="Calibri" w:hAnsi="Calibri"/>
                <w:sz w:val="22"/>
              </w:rPr>
              <w:t>Routine annual director equity compensation.</w:t>
            </w:r>
          </w:p>
        </w:tc>
      </w:tr>
      <w:tr>
        <w:tc>
          <w:tcPr>
            <w:tcW w:type="dxa" w:w="1440"/>
          </w:tcPr>
          <w:p>
            <w:r>
              <w:rPr>
                <w:rFonts w:ascii="Calibri" w:hAnsi="Calibri"/>
                <w:sz w:val="22"/>
              </w:rPr>
              <w:t>Kurz, Karl F.</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2,159</w:t>
            </w:r>
          </w:p>
        </w:tc>
        <w:tc>
          <w:tcPr>
            <w:tcW w:type="dxa" w:w="1440"/>
          </w:tcPr>
          <w:p>
            <w:r>
              <w:rPr>
                <w:rFonts w:ascii="Calibri" w:hAnsi="Calibri"/>
                <w:sz w:val="22"/>
              </w:rPr>
              <w:t>May 13, 2026</w:t>
            </w:r>
          </w:p>
        </w:tc>
        <w:tc>
          <w:tcPr>
            <w:tcW w:type="dxa" w:w="1440"/>
          </w:tcPr>
          <w:p>
            <w:r>
              <w:rPr>
                <w:rFonts w:ascii="Calibri" w:hAnsi="Calibri"/>
                <w:sz w:val="22"/>
              </w:rPr>
              <w:t>Routine annual director equity compensation; slightly larger grant (board chair or committee role).</w:t>
            </w:r>
          </w:p>
        </w:tc>
      </w:tr>
      <w:tr>
        <w:tc>
          <w:tcPr>
            <w:tcW w:type="dxa" w:w="1440"/>
          </w:tcPr>
          <w:p>
            <w:r>
              <w:rPr>
                <w:rFonts w:ascii="Calibri" w:hAnsi="Calibri"/>
                <w:sz w:val="22"/>
              </w:rPr>
              <w:t>Marberry, Michael</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1,374</w:t>
            </w:r>
          </w:p>
        </w:tc>
        <w:tc>
          <w:tcPr>
            <w:tcW w:type="dxa" w:w="1440"/>
          </w:tcPr>
          <w:p>
            <w:r>
              <w:rPr>
                <w:rFonts w:ascii="Calibri" w:hAnsi="Calibri"/>
                <w:sz w:val="22"/>
              </w:rPr>
              <w:t>May 13, 2026</w:t>
            </w:r>
          </w:p>
        </w:tc>
        <w:tc>
          <w:tcPr>
            <w:tcW w:type="dxa" w:w="1440"/>
          </w:tcPr>
          <w:p>
            <w:r>
              <w:rPr>
                <w:rFonts w:ascii="Calibri" w:hAnsi="Calibri"/>
                <w:sz w:val="22"/>
              </w:rPr>
              <w:t>Routine annual director equity compensation.</w:t>
            </w:r>
          </w:p>
        </w:tc>
      </w:tr>
      <w:tr>
        <w:tc>
          <w:tcPr>
            <w:tcW w:type="dxa" w:w="1440"/>
          </w:tcPr>
          <w:p>
            <w:r>
              <w:rPr>
                <w:rFonts w:ascii="Calibri" w:hAnsi="Calibri"/>
                <w:sz w:val="22"/>
              </w:rPr>
              <w:t>McGuigan, Stuart M.</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1,374</w:t>
            </w:r>
          </w:p>
        </w:tc>
        <w:tc>
          <w:tcPr>
            <w:tcW w:type="dxa" w:w="1440"/>
          </w:tcPr>
          <w:p>
            <w:r>
              <w:rPr>
                <w:rFonts w:ascii="Calibri" w:hAnsi="Calibri"/>
                <w:sz w:val="22"/>
              </w:rPr>
              <w:t>May 13, 2026</w:t>
            </w:r>
          </w:p>
        </w:tc>
        <w:tc>
          <w:tcPr>
            <w:tcW w:type="dxa" w:w="1440"/>
          </w:tcPr>
          <w:p>
            <w:r>
              <w:rPr>
                <w:rFonts w:ascii="Calibri" w:hAnsi="Calibri"/>
                <w:sz w:val="22"/>
              </w:rPr>
              <w:t>Routine annual director equity compensation.</w:t>
            </w:r>
          </w:p>
        </w:tc>
      </w:tr>
      <w:tr>
        <w:tc>
          <w:tcPr>
            <w:tcW w:type="dxa" w:w="1440"/>
          </w:tcPr>
          <w:p>
            <w:r>
              <w:rPr>
                <w:rFonts w:ascii="Calibri" w:hAnsi="Calibri"/>
                <w:sz w:val="22"/>
              </w:rPr>
              <w:t>Nathoo, Raffiq</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1,374</w:t>
            </w:r>
          </w:p>
        </w:tc>
        <w:tc>
          <w:tcPr>
            <w:tcW w:type="dxa" w:w="1440"/>
          </w:tcPr>
          <w:p>
            <w:r>
              <w:rPr>
                <w:rFonts w:ascii="Calibri" w:hAnsi="Calibri"/>
                <w:sz w:val="22"/>
              </w:rPr>
              <w:t>May 13, 2026</w:t>
            </w:r>
          </w:p>
        </w:tc>
        <w:tc>
          <w:tcPr>
            <w:tcW w:type="dxa" w:w="1440"/>
          </w:tcPr>
          <w:p>
            <w:r>
              <w:rPr>
                <w:rFonts w:ascii="Calibri" w:hAnsi="Calibri"/>
                <w:sz w:val="22"/>
              </w:rPr>
              <w:t>Routine annual director equity compensation.</w:t>
            </w:r>
          </w:p>
        </w:tc>
      </w:tr>
    </w:tbl>
    <w:p>
      <w:r>
        <w:rPr>
          <w:rFonts w:ascii="Calibri" w:hAnsi="Calibri"/>
          <w:color w:val="525866"/>
          <w:sz w:val="22"/>
        </w:rPr>
        <w:t xml:space="preserve">All transactions are routine annual equity grants to non-executive directors (Form 4 transaction code "A" = Award/Grant). There are </w:t>
      </w:r>
      <w:r>
        <w:rPr>
          <w:rFonts w:ascii="Calibri" w:hAnsi="Calibri"/>
          <w:b/>
          <w:color w:val="525866"/>
          <w:sz w:val="22"/>
        </w:rPr>
        <w:t>no open-market purchases or sales</w:t>
      </w:r>
      <w:r>
        <w:rPr>
          <w:rFonts w:ascii="Calibri" w:hAnsi="Calibri"/>
          <w:color w:val="525866"/>
          <w:sz w:val="22"/>
        </w:rPr>
        <w:t xml:space="preserve"> by any executive officer or director in the period since Q1 earnings. The absence of discretionary insider selling ahead of the print is a mild positive signal.</w:t>
      </w:r>
    </w:p>
    <w:p>
      <w:r>
        <w:rPr>
          <w:rFonts w:ascii="Calibri" w:hAnsi="Calibri"/>
          <w:i/>
          <w:color w:val="525866"/>
          <w:sz w:val="22"/>
        </w:rPr>
        <w:t>Source: SEC Form 4 Filings Database.</w:t>
      </w:r>
    </w:p>
    <w:p>
      <w:r>
        <w:br w:type="page"/>
      </w:r>
    </w:p>
    <w:p>
      <w:pPr>
        <w:pStyle w:val="Heading2"/>
      </w:pPr>
      <w:r>
        <w:rPr>
          <w:rFonts w:ascii="Calibri" w:hAnsi="Calibri"/>
          <w:b/>
          <w:color w:val="3B4259"/>
          <w:sz w:val="28"/>
        </w:rPr>
        <w:t>9. Key Risks</w:t>
      </w:r>
    </w:p>
    <w:p>
      <w:r>
        <w:rPr>
          <w:rFonts w:ascii="Calibri" w:hAnsi="Calibri"/>
          <w:b/>
          <w:color w:val="525866"/>
          <w:sz w:val="22"/>
        </w:rPr>
        <w:t xml:space="preserve">Key Takeaway: </w:t>
      </w:r>
      <w:r>
        <w:rPr>
          <w:rFonts w:ascii="Calibri" w:hAnsi="Calibri"/>
          <w:color w:val="525866"/>
          <w:sz w:val="22"/>
        </w:rPr>
        <w:t xml:space="preserve">The risk profile is </w:t>
      </w:r>
      <w:r>
        <w:rPr>
          <w:rFonts w:ascii="Calibri" w:hAnsi="Calibri"/>
          <w:b/>
          <w:color w:val="525866"/>
          <w:sz w:val="22"/>
        </w:rPr>
        <w:t>skewed to the upside</w:t>
      </w:r>
      <w:r>
        <w:rPr>
          <w:rFonts w:ascii="Calibri" w:hAnsi="Calibri"/>
          <w:color w:val="525866"/>
          <w:sz w:val="22"/>
        </w:rPr>
        <w:t xml:space="preserve"> for Q2 given the low consensus bar, but the Essential Utilities merger regulatory timeline and utility affordability political risk are the two most important medium-term overhangs.</w:t>
      </w:r>
    </w:p>
    <w:p>
      <w:pPr>
        <w:pStyle w:val="ListBullet"/>
        <w:ind w:left="360" w:hanging="360"/>
      </w:pPr>
      <w:r>
        <w:rPr>
          <w:rFonts w:ascii="Calibri" w:hAnsi="Calibri"/>
          <w:b/>
          <w:color w:val="525866"/>
          <w:sz w:val="22"/>
        </w:rPr>
        <w:t xml:space="preserve">Essential Utilities Merger Regulatory Delays (High Impact): </w:t>
      </w:r>
      <w:r>
        <w:rPr>
          <w:rFonts w:ascii="Calibri" w:hAnsi="Calibri"/>
          <w:color w:val="525866"/>
          <w:sz w:val="22"/>
        </w:rPr>
        <w:t>Seven state PUC approvals are required; only Kentucky and Ohio have been received. Virginia, Illinois, and Pennsylvania remain pending. Any unexpected opposition, conditions, or delays could push the Q1 2027 close target and weigh on the stock, which is already trading at a discount to historical multiples partly due to merger uncertainty.</w:t>
      </w:r>
    </w:p>
    <w:p>
      <w:pPr>
        <w:pStyle w:val="ListBullet"/>
        <w:ind w:left="360" w:hanging="360"/>
      </w:pPr>
      <w:r>
        <w:rPr>
          <w:rFonts w:ascii="Calibri" w:hAnsi="Calibri"/>
          <w:b/>
          <w:color w:val="525866"/>
          <w:sz w:val="22"/>
        </w:rPr>
        <w:t xml:space="preserve">New Jersey Rate Case Outcome (Medium Impact): </w:t>
      </w:r>
      <w:r>
        <w:rPr>
          <w:rFonts w:ascii="Calibri" w:hAnsi="Calibri"/>
          <w:color w:val="525866"/>
          <w:sz w:val="22"/>
        </w:rPr>
        <w:t>The NJ rate case is a key H2 2026 earnings driver. Rate Counsel and intervenor testimony was due June 22; new rates are expected "later this fall." A settlement below the filed amount or a delayed decision could reduce H2 EPS vs. guidance.</w:t>
      </w:r>
    </w:p>
    <w:p>
      <w:pPr>
        <w:pStyle w:val="ListBullet"/>
        <w:ind w:left="360" w:hanging="360"/>
      </w:pPr>
      <w:r>
        <w:rPr>
          <w:rFonts w:ascii="Calibri" w:hAnsi="Calibri"/>
          <w:b/>
          <w:color w:val="525866"/>
          <w:sz w:val="22"/>
        </w:rPr>
        <w:t xml:space="preserve">Utility Affordability Political Risk (Medium Impact): </w:t>
      </w:r>
      <w:r>
        <w:rPr>
          <w:rFonts w:ascii="Calibri" w:hAnsi="Calibri"/>
          <w:color w:val="525866"/>
          <w:sz w:val="22"/>
        </w:rPr>
        <w:t>The Ohio rate freeze bill and Pennsylvania Governor's focus on affordability signal a broader political environment that could constrain future rate case outcomes. AWK's engagement with the Pennsylvania Governor's Special Counsel is a proactive mitigant, but this is a sector-wide risk.</w:t>
      </w:r>
    </w:p>
    <w:p>
      <w:pPr>
        <w:pStyle w:val="ListBullet"/>
        <w:ind w:left="360" w:hanging="360"/>
      </w:pPr>
      <w:r>
        <w:rPr>
          <w:rFonts w:ascii="Calibri" w:hAnsi="Calibri"/>
          <w:b/>
          <w:color w:val="525866"/>
          <w:sz w:val="22"/>
        </w:rPr>
        <w:t xml:space="preserve">Equity Forward Settlement Dilution (Low-Medium Impact): </w:t>
      </w:r>
      <w:r>
        <w:rPr>
          <w:rFonts w:ascii="Calibri" w:hAnsi="Calibri"/>
          <w:color w:val="525866"/>
          <w:sz w:val="22"/>
        </w:rPr>
        <w:t>AWK planned to settle ~$1B of equity forward proceeds around midyear 2026. The timing and share count impact will be disclosed in Q2 results and could affect EPS comparisons.</w:t>
      </w:r>
    </w:p>
    <w:p>
      <w:pPr>
        <w:pStyle w:val="ListBullet"/>
        <w:ind w:left="360" w:hanging="360"/>
      </w:pPr>
      <w:r>
        <w:rPr>
          <w:rFonts w:ascii="Calibri" w:hAnsi="Calibri"/>
          <w:b/>
          <w:color w:val="525866"/>
          <w:sz w:val="22"/>
        </w:rPr>
        <w:t xml:space="preserve">Weather / Volume Risk (Low Impact for Q2): </w:t>
      </w:r>
      <w:r>
        <w:rPr>
          <w:rFonts w:ascii="Calibri" w:hAnsi="Calibri"/>
          <w:color w:val="525866"/>
          <w:sz w:val="22"/>
        </w:rPr>
        <w:t>Mild weather in H1 2026 (noted by DTE and CNP in Q2 calls) could modestly reduce water demand vs. prior year. However, AWK's regulated revenue structure limits volume sensitivity, and the Q2 bar is already low.</w:t>
      </w:r>
    </w:p>
    <w:p>
      <w:pPr>
        <w:pStyle w:val="ListBullet"/>
        <w:ind w:left="360" w:hanging="360"/>
      </w:pPr>
      <w:r>
        <w:rPr>
          <w:rFonts w:ascii="Calibri" w:hAnsi="Calibri"/>
          <w:b/>
          <w:color w:val="525866"/>
          <w:sz w:val="22"/>
        </w:rPr>
        <w:t xml:space="preserve">Nexus Water Group Integration (Low Impact): </w:t>
      </w:r>
      <w:r>
        <w:rPr>
          <w:rFonts w:ascii="Calibri" w:hAnsi="Calibri"/>
          <w:color w:val="525866"/>
          <w:sz w:val="22"/>
        </w:rPr>
        <w:t>The Nexus acquisition was expected to close by June 30, 2026. Integration costs and any purchase price adjustments could be a modest Q2 headwind, though management has not flagged this as a material risk.</w:t>
      </w:r>
    </w:p>
    <w:p>
      <w:pPr>
        <w:pStyle w:val="ListBullet"/>
        <w:ind w:left="360" w:hanging="360"/>
      </w:pPr>
      <w:r>
        <w:rPr>
          <w:rFonts w:ascii="Calibri" w:hAnsi="Calibri"/>
          <w:b/>
          <w:color w:val="525866"/>
          <w:sz w:val="22"/>
        </w:rPr>
        <w:t xml:space="preserve">Interest Rate / Financing Cost Risk (Low Impact Near-Term): </w:t>
      </w:r>
      <w:r>
        <w:rPr>
          <w:rFonts w:ascii="Calibri" w:hAnsi="Calibri"/>
          <w:color w:val="525866"/>
          <w:sz w:val="22"/>
        </w:rPr>
        <w:t>AWK issued $700M in 5.200% senior notes in April 2026 and plans another debt issuance in Q3/early Q4. Rising rates could increase financing costs, though the CAMT cash benefit (~$100M/year) provides meaningful offset.</w:t>
      </w:r>
    </w:p>
    <w:p>
      <w:r>
        <w:br w:type="page"/>
      </w:r>
    </w:p>
    <w:p>
      <w:pPr>
        <w:pStyle w:val="Heading3"/>
      </w:pPr>
      <w:r>
        <w:rPr>
          <w:rFonts w:ascii="Calibri" w:hAnsi="Calibri"/>
          <w:b/>
          <w:color w:val="3B4259"/>
          <w:sz w:val="24"/>
        </w:rPr>
        <w:t>Disclosures &amp; Data Sources</w:t>
      </w:r>
    </w:p>
    <w:p>
      <w:r>
        <w:rPr>
          <w:rFonts w:ascii="Calibri" w:hAnsi="Calibri"/>
          <w:color w:val="525866"/>
          <w:sz w:val="22"/>
        </w:rPr>
        <w:t>This document is prepared for informational purposes only. All financial data sourced from Visible Alpha Consensus and Actuals Data, SEC filings (Form 4, 8-K, press releases), company earnings transcripts, and Stock Price Data. Consensus estimates as of July 28, 2026. Past performance is not indicative of future results.</w:t>
      </w:r>
    </w:p>
    <w:p>
      <w:r>
        <w:rPr>
          <w:rFonts w:ascii="Calibri" w:hAnsi="Calibri"/>
          <w:b/>
          <w:color w:val="525866"/>
          <w:sz w:val="22"/>
        </w:rPr>
        <w:t>Key data citations:</w:t>
      </w:r>
    </w:p>
    <w:p>
      <w:pPr>
        <w:pStyle w:val="ListBullet"/>
        <w:ind w:left="360" w:hanging="360"/>
      </w:pPr>
      <w:r>
        <w:rPr>
          <w:rFonts w:ascii="Calibri" w:hAnsi="Calibri"/>
          <w:b/>
          <w:color w:val="525866"/>
          <w:sz w:val="22"/>
        </w:rPr>
        <w:t xml:space="preserve">EPS, Revenue, CapEx, Rate Base consensus and actuals: </w:t>
      </w:r>
      <w:r>
        <w:rPr>
          <w:rFonts w:ascii="Calibri" w:hAnsi="Calibri"/>
          <w:color w:val="525866"/>
          <w:sz w:val="22"/>
        </w:rPr>
        <w:t>Visible Alpha Consensus and Actuals Data (https://insights.visiblealpha.com/mex/AWK_US/NMV/)</w:t>
      </w:r>
    </w:p>
    <w:p>
      <w:pPr>
        <w:pStyle w:val="ListBullet"/>
        <w:ind w:left="360" w:hanging="360"/>
      </w:pPr>
      <w:r>
        <w:rPr>
          <w:rFonts w:ascii="Calibri" w:hAnsi="Calibri"/>
          <w:b/>
          <w:color w:val="525866"/>
          <w:sz w:val="22"/>
        </w:rPr>
        <w:t xml:space="preserve">Stock price performance: </w:t>
      </w:r>
      <w:r>
        <w:rPr>
          <w:rFonts w:ascii="Calibri" w:hAnsi="Calibri"/>
          <w:color w:val="525866"/>
          <w:sz w:val="22"/>
        </w:rPr>
        <w:t>Stock Price Data (Yahoo Finance)</w:t>
      </w:r>
    </w:p>
    <w:p>
      <w:pPr>
        <w:pStyle w:val="ListBullet"/>
        <w:ind w:left="360" w:hanging="360"/>
      </w:pPr>
      <w:r>
        <w:rPr>
          <w:rFonts w:ascii="Calibri" w:hAnsi="Calibri"/>
          <w:b/>
          <w:color w:val="525866"/>
          <w:sz w:val="22"/>
        </w:rPr>
        <w:t xml:space="preserve">Insider transactions: </w:t>
      </w:r>
      <w:r>
        <w:rPr>
          <w:rFonts w:ascii="Calibri" w:hAnsi="Calibri"/>
          <w:color w:val="525866"/>
          <w:sz w:val="22"/>
        </w:rPr>
        <w:t>SEC Form 4 Filings Database (https://www.sec.gov/)</w:t>
      </w:r>
    </w:p>
    <w:p>
      <w:pPr>
        <w:pStyle w:val="ListBullet"/>
        <w:ind w:left="360" w:hanging="360"/>
      </w:pPr>
      <w:r>
        <w:rPr>
          <w:rFonts w:ascii="Calibri" w:hAnsi="Calibri"/>
          <w:b/>
          <w:color w:val="525866"/>
          <w:sz w:val="22"/>
        </w:rPr>
        <w:t xml:space="preserve">Company filings and transcripts: </w:t>
      </w:r>
      <w:r>
        <w:rPr>
          <w:rFonts w:ascii="Calibri" w:hAnsi="Calibri"/>
          <w:color w:val="525866"/>
          <w:sz w:val="22"/>
        </w:rPr>
        <w:t>SEC EDGAR; AWK Q1 2026 Earnings Call Transcript (April 30, 2026); AWK 8-K filings (July 16, July 1, May 15, April 1, 2026)</w:t>
      </w:r>
    </w:p>
    <w:p>
      <w:pPr>
        <w:pStyle w:val="ListBullet"/>
        <w:ind w:left="360" w:hanging="360"/>
      </w:pPr>
      <w:r>
        <w:rPr>
          <w:rFonts w:ascii="Calibri" w:hAnsi="Calibri"/>
          <w:b/>
          <w:color w:val="525866"/>
          <w:sz w:val="22"/>
        </w:rPr>
        <w:t xml:space="preserve">Peer commentary: </w:t>
      </w:r>
      <w:r>
        <w:rPr>
          <w:rFonts w:ascii="Calibri" w:hAnsi="Calibri"/>
          <w:color w:val="525866"/>
          <w:sz w:val="22"/>
        </w:rPr>
        <w:t>NEE Q2 2026 Earnings Call (July 24, 2026); PCG Q2 2026 Earnings Call (July 23, 2026); CNP Q2 2026 Earnings Call (July 28, 2026); DTE Q2 2026 Earnings Call (July 28, 2026); CMS Q2 2026 8-K (July 28, 2026); WTRG Q1 2026 Earnings Call (May 7, 2026); CWT 8-K (April 30, 2026); AWR Q1 2026 Earnings Call (May 7,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