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Boeing (BA) thoroughly before writing the preview. Let me start by gathering recent filings, transcripts, and news.Let me read the most recent earnings materials and gather recent news.Now let me gather recent news and developments since Q1, plus check the stock price trend and prior-year Q2 for comparison.Let me pull recent news and any press releases/8-Ks from the past few weeks to capture the latest developments heading into the print.Let me get a bit more on Q2 deliveries, Farnborough orders, and the China deal to round out the picture.I have what I need. Here's the earnings preview.</w:t>
      </w:r>
    </w:p>
    <w:p>
      <w:r>
        <w:pict>
          <v:rect style="width:0;height:1.5pt" o:hralign="center" o:hrstd="t" o:hr="t"/>
        </w:pict>
      </w:r>
    </w:p>
    <w:bookmarkStart w:id="23" w:name="boeing-ba--q2-2026-earnings-preview"/>
    <w:p>
      <w:pPr>
        <w:pStyle w:val="Heading1"/>
      </w:pPr>
      <w:r>
        <w:t xml:space="preserve">Boeing (BA) — Q2 2026 Earnings Preview</w:t>
      </w:r>
    </w:p>
    <w:bookmarkStart w:id="9" w:name="X5bb4e02b4ea919ca8359fe6edb558a6063ee46e"/>
    <w:p>
      <w:pPr>
        <w:pStyle w:val="Heading3"/>
      </w:pPr>
      <w:r>
        <w:t xml:space="preserve">Reporting Tuesday, July 28, 2026, before the open · Conference call 10:30 a.m. ET</w:t>
      </w:r>
    </w:p>
    <w:p>
      <w:pPr>
        <w:pStyle w:val="FirstParagraph"/>
      </w:pPr>
      <w:r>
        <w:rPr>
          <w:i/>
          <w:iCs/>
        </w:rPr>
        <w:t xml:space="preserve">CEO Kelly Ortberg and CFO Jay Malave hosting</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Boeing enters this print with the most favorable narrative it has had in years: production rates are ramping on schedule, the FAA has been handing back trust, MAX 7/10 certification looks imminent, and orders are flowing. The stock, however, has faded into the print — closing at</w:t>
      </w:r>
      <w:r>
        <w:t xml:space="preserve"> </w:t>
      </w:r>
      <w:r>
        <w:rPr>
          <w:b/>
          <w:bCs/>
        </w:rPr>
        <w:t xml:space="preserve">$211.54 on 7/27</w:t>
      </w:r>
      <w:r>
        <w:t xml:space="preserve">, down ~7% YTD and ~10% off its early-July high near $234.50 — so expectations have cooled even as fundamentals have improved. The debate is no longer "can Boeing survive," it's "how fast and how linear is the cash-flow recovery."</w:t>
      </w:r>
    </w:p>
    <w:p>
      <w:r>
        <w:pict>
          <v:rect style="width:0;height:1.5pt" o:hralign="center" o:hrstd="t" o:hr="t"/>
        </w:pict>
      </w:r>
    </w:p>
    <w:bookmarkEnd w:id="10"/>
    <w:bookmarkStart w:id="11" w:name="where-the-stock-sits"/>
    <w:p>
      <w:pPr>
        <w:pStyle w:val="Heading2"/>
      </w:pPr>
      <w:r>
        <w:t xml:space="preserve">Where the stock sits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r>
              <w:t xml:space="preserve">Level</w:t>
            </w:r>
          </w:p>
        </w:tc>
      </w:tr>
      <w:tr>
        <w:tc>
          <w:tcPr/>
          <w:p>
            <w:pPr>
              <w:pStyle w:val="Compact"/>
            </w:pPr>
            <w:r>
              <w:t xml:space="preserve">7/27/2026 close</w:t>
            </w:r>
          </w:p>
        </w:tc>
        <w:tc>
          <w:tcPr/>
          <w:p>
            <w:pPr>
              <w:pStyle w:val="Compact"/>
            </w:pPr>
            <w:r>
              <w:t xml:space="preserve">$211.54</w:t>
            </w:r>
          </w:p>
        </w:tc>
      </w:tr>
      <w:tr>
        <w:tc>
          <w:tcPr/>
          <w:p>
            <w:pPr>
              <w:pStyle w:val="Compact"/>
            </w:pPr>
            <w:r>
              <w:t xml:space="preserve">YTD (from $227.77 on 1/2)</w:t>
            </w:r>
          </w:p>
        </w:tc>
        <w:tc>
          <w:tcPr/>
          <w:p>
            <w:pPr>
              <w:pStyle w:val="Compact"/>
            </w:pPr>
            <w:r>
              <w:t xml:space="preserve">~ -7%</w:t>
            </w:r>
          </w:p>
        </w:tc>
      </w:tr>
      <w:tr>
        <w:tc>
          <w:tcPr/>
          <w:p>
            <w:pPr>
              <w:pStyle w:val="Compact"/>
            </w:pPr>
            <w:r>
              <w:t xml:space="preserve">2026 high (1/23)</w:t>
            </w:r>
          </w:p>
        </w:tc>
        <w:tc>
          <w:tcPr/>
          <w:p>
            <w:pPr>
              <w:pStyle w:val="Compact"/>
            </w:pPr>
            <w:r>
              <w:t xml:space="preserve">~$252</w:t>
            </w:r>
          </w:p>
        </w:tc>
      </w:tr>
      <w:tr>
        <w:tc>
          <w:tcPr/>
          <w:p>
            <w:pPr>
              <w:pStyle w:val="Compact"/>
            </w:pPr>
            <w:r>
              <w:t xml:space="preserve">2026 low (3/30)</w:t>
            </w:r>
          </w:p>
        </w:tc>
        <w:tc>
          <w:tcPr/>
          <w:p>
            <w:pPr>
              <w:pStyle w:val="Compact"/>
            </w:pPr>
            <w:r>
              <w:t xml:space="preserve">~$189</w:t>
            </w:r>
          </w:p>
        </w:tc>
      </w:tr>
      <w:tr>
        <w:tc>
          <w:tcPr/>
          <w:p>
            <w:pPr>
              <w:pStyle w:val="Compact"/>
            </w:pPr>
            <w:r>
              <w:t xml:space="preserve">Recent July high (7/6)</w:t>
            </w:r>
          </w:p>
        </w:tc>
        <w:tc>
          <w:tcPr/>
          <w:p>
            <w:pPr>
              <w:pStyle w:val="Compact"/>
            </w:pPr>
            <w:r>
              <w:t xml:space="preserve">~$234.50</w:t>
            </w:r>
          </w:p>
        </w:tc>
      </w:tr>
    </w:tbl>
    <w:p>
      <w:pPr>
        <w:pStyle w:val="BodyText"/>
      </w:pPr>
      <w:r>
        <w:t xml:space="preserve">The chart tells the story of the year: a January melt-up, a March tariff/macro drawdown to ~$189, a recovery back above $230 by early July on certification and order momentum, and a pullback into earnings. Positioning looks constructive but not euphoric.</w:t>
      </w:r>
    </w:p>
    <w:p>
      <w:r>
        <w:pict>
          <v:rect style="width:0;height:1.5pt" o:hralign="center" o:hrstd="t" o:hr="t"/>
        </w:pict>
      </w:r>
    </w:p>
    <w:bookmarkEnd w:id="11"/>
    <w:bookmarkStart w:id="12" w:name="what-q1-2026-established-as-the-baseline"/>
    <w:p>
      <w:pPr>
        <w:pStyle w:val="Heading2"/>
      </w:pPr>
      <w:r>
        <w:t xml:space="preserve">What Q1 2026 established as the baseline</w:t>
      </w:r>
    </w:p>
    <w:p>
      <w:pPr>
        <w:pStyle w:val="FirstParagraph"/>
      </w:pPr>
      <w:r>
        <w:t xml:space="preserve">The March-quarter print set the bar and the framing for the year:</w:t>
      </w:r>
    </w:p>
    <w:p>
      <w:pPr>
        <w:pStyle w:val="Compact"/>
        <w:numPr>
          <w:ilvl w:val="0"/>
          <w:numId w:val="1001"/>
        </w:numPr>
      </w:pPr>
      <w:r>
        <w:rPr>
          <w:b/>
          <w:bCs/>
        </w:rPr>
        <w:t xml:space="preserve">Revenue $22.2B (+14% YoY)</w:t>
      </w:r>
      <w:r>
        <w:t xml:space="preserve">; GAAP loss/share $(0.11), core loss/share $(0.20)</w:t>
      </w:r>
    </w:p>
    <w:p>
      <w:pPr>
        <w:pStyle w:val="Compact"/>
        <w:numPr>
          <w:ilvl w:val="0"/>
          <w:numId w:val="1001"/>
        </w:numPr>
      </w:pPr>
      <w:r>
        <w:rPr>
          <w:b/>
          <w:bCs/>
        </w:rPr>
        <w:t xml:space="preserve">Free cash flow $(1.5)B</w:t>
      </w:r>
      <w:r>
        <w:t xml:space="preserve"> </w:t>
      </w:r>
      <w:r>
        <w:t xml:space="preserve">— a usage, but far better than feared, helped by recovery from a 737 wiring nonconformance and favorable collection timing</w:t>
      </w:r>
    </w:p>
    <w:p>
      <w:pPr>
        <w:pStyle w:val="Compact"/>
        <w:numPr>
          <w:ilvl w:val="0"/>
          <w:numId w:val="1001"/>
        </w:numPr>
      </w:pPr>
      <w:r>
        <w:rPr>
          <w:b/>
          <w:bCs/>
        </w:rPr>
        <w:t xml:space="preserve">Record backlog of $695B</w:t>
      </w:r>
      <w:r>
        <w:t xml:space="preserve"> </w:t>
      </w:r>
      <w:r>
        <w:t xml:space="preserve">(BCA $576B / 6,100+ jets, BDS $86B, BGS $33B)</w:t>
      </w:r>
    </w:p>
    <w:p>
      <w:pPr>
        <w:pStyle w:val="Compact"/>
        <w:numPr>
          <w:ilvl w:val="0"/>
          <w:numId w:val="1001"/>
        </w:numPr>
      </w:pPr>
      <w:r>
        <w:t xml:space="preserve">Segment margins:</w:t>
      </w:r>
      <w:r>
        <w:t xml:space="preserve"> </w:t>
      </w:r>
      <w:r>
        <w:rPr>
          <w:b/>
          <w:bCs/>
        </w:rPr>
        <w:t xml:space="preserve">BCA -6.1%</w:t>
      </w:r>
      <w:r>
        <w:t xml:space="preserve">,</w:t>
      </w:r>
      <w:r>
        <w:t xml:space="preserve"> </w:t>
      </w:r>
      <w:r>
        <w:rPr>
          <w:b/>
          <w:bCs/>
        </w:rPr>
        <w:t xml:space="preserve">BDS 3.1%</w:t>
      </w:r>
      <w:r>
        <w:t xml:space="preserve">,</w:t>
      </w:r>
      <w:r>
        <w:t xml:space="preserve"> </w:t>
      </w:r>
      <w:r>
        <w:rPr>
          <w:b/>
          <w:bCs/>
        </w:rPr>
        <w:t xml:space="preserve">BGS 18.1%</w:t>
      </w:r>
    </w:p>
    <w:p>
      <w:pPr>
        <w:pStyle w:val="Compact"/>
        <w:numPr>
          <w:ilvl w:val="0"/>
          <w:numId w:val="1001"/>
        </w:numPr>
      </w:pPr>
      <w:r>
        <w:t xml:space="preserve">Cash &amp; securities</w:t>
      </w:r>
      <w:r>
        <w:t xml:space="preserve"> </w:t>
      </w:r>
      <m:oMath>
        <m:r>
          <m:t>20.9</m:t>
        </m:r>
        <m:r>
          <m:t>B</m:t>
        </m:r>
        <m:r>
          <m:rPr>
            <m:sty m:val="p"/>
          </m:rPr>
          <m:t>*</m:t>
        </m:r>
        <m:r>
          <m:rPr>
            <m:sty m:val="p"/>
          </m:rPr>
          <m:t>*</m:t>
        </m:r>
        <m:r>
          <m:rPr>
            <m:sty m:val="p"/>
          </m:rPr>
          <m:t>;</m:t>
        </m:r>
        <m:r>
          <m:t>d</m:t>
        </m:r>
        <m:r>
          <m:t>e</m:t>
        </m:r>
        <m:r>
          <m:t>b</m:t>
        </m:r>
        <m:r>
          <m:t>t</m:t>
        </m:r>
        <m:r>
          <m:t>c</m:t>
        </m:r>
        <m:r>
          <m:t>u</m:t>
        </m:r>
        <m:r>
          <m:t>t</m:t>
        </m:r>
        <m:r>
          <m:t>b</m:t>
        </m:r>
        <m:r>
          <m:t>y</m:t>
        </m:r>
        <m:r>
          <m:rPr>
            <m:sty m:val="p"/>
          </m:rPr>
          <m:t>*</m:t>
        </m:r>
        <m:r>
          <m:rPr>
            <m:sty m:val="p"/>
          </m:rPr>
          <m:t>*</m:t>
        </m:r>
      </m:oMath>
      <w:r>
        <w:rPr>
          <w:b/>
          <w:bCs/>
        </w:rPr>
        <w:t xml:space="preserve">6.9B</w:t>
      </w:r>
      <w:r>
        <w:t xml:space="preserve"> </w:t>
      </w:r>
      <w:r>
        <w:t xml:space="preserve">to</w:t>
      </w:r>
      <w:r>
        <w:t xml:space="preserve"> </w:t>
      </w:r>
      <w:r>
        <w:rPr>
          <w:b/>
          <w:bCs/>
        </w:rPr>
        <w:t xml:space="preserve">$47.2B</w:t>
      </w:r>
    </w:p>
    <w:p>
      <w:pPr>
        <w:pStyle w:val="FirstParagraph"/>
      </w:pPr>
      <w:r>
        <w:t xml:space="preserve">Management's full-year framework:</w:t>
      </w:r>
      <w:r>
        <w:t xml:space="preserve"> </w:t>
      </w:r>
      <w:r>
        <w:rPr>
          <w:b/>
          <w:bCs/>
        </w:rPr>
        <w:t xml:space="preserve">positive FCF of</w:t>
      </w:r>
      <w:r>
        <w:rPr>
          <w:b/>
          <w:bCs/>
        </w:rPr>
        <w:t xml:space="preserve"> </w:t>
      </w:r>
      <w:r>
        <w:rPr>
          <w:b/>
          <w:bCs/>
        </w:rPr>
        <w:t xml:space="preserve">$1–3B**, with Q2 a modest outflow ("low hundreds of millions"), turning positive in 2H. The **DOJ non-prosecution payment is assumed in 2H**. Longer term, they reiterated **$</w:t>
      </w:r>
      <w:r>
        <w:rPr>
          <w:b/>
          <w:bCs/>
        </w:rPr>
        <w:t xml:space="preserve">10B FCF as "very attainable" with growth beyond</w:t>
      </w:r>
      <w:r>
        <w:t xml:space="preserve">.</w:t>
      </w:r>
    </w:p>
    <w:p>
      <w:r>
        <w:pict>
          <v:rect style="width:0;height:1.5pt" o:hralign="center" o:hrstd="t" o:hr="t"/>
        </w:pict>
      </w:r>
    </w:p>
    <w:bookmarkEnd w:id="12"/>
    <w:bookmarkStart w:id="18" w:name="Xed46e563bc14ea4cef076ecd5e20b531b26d6f5"/>
    <w:p>
      <w:pPr>
        <w:pStyle w:val="Heading2"/>
      </w:pPr>
      <w:r>
        <w:t xml:space="preserve">The five things that actually matter this quarter</w:t>
      </w:r>
    </w:p>
    <w:bookmarkStart w:id="13" w:name="Xf2d789c0783fe536dd3baf0c4cff73e868d7dcf"/>
    <w:p>
      <w:pPr>
        <w:pStyle w:val="Heading3"/>
      </w:pPr>
      <w:r>
        <w:t xml:space="preserve">1. Free cash flow — is Q2 the inflection?</w:t>
      </w:r>
    </w:p>
    <w:p>
      <w:pPr>
        <w:pStyle w:val="FirstParagraph"/>
      </w:pPr>
      <w:r>
        <w:t xml:space="preserve">This is the swing factor. Q1 was -$1.5B; management guided Q2 to only a</w:t>
      </w:r>
      <w:r>
        <w:t xml:space="preserve"> </w:t>
      </w:r>
      <w:r>
        <w:rPr>
          <w:b/>
          <w:bCs/>
        </w:rPr>
        <w:t xml:space="preserve">low-hundreds-of-millions outflow</w:t>
      </w:r>
      <w:r>
        <w:t xml:space="preserve">, setting up a positive 2H. Investors will want confirmation that (a) the $1–3B full-year guide is intact, (b) working-capital burn from built-but-undelivered inventory is peaking, and (c) the DOJ payment timing hasn't shifted. Any reaffirmation — or raise — of the FCF guide is the most direct catalyst.</w:t>
      </w:r>
    </w:p>
    <w:bookmarkEnd w:id="13"/>
    <w:bookmarkStart w:id="14" w:name="Xb964639463a9a35514c65b4e983d6ff0c5974ca"/>
    <w:p>
      <w:pPr>
        <w:pStyle w:val="Heading3"/>
      </w:pPr>
      <w:r>
        <w:t xml:space="preserve">2. Production rates: 737 to 47, path to 52</w:t>
      </w:r>
    </w:p>
    <w:p>
      <w:pPr>
        <w:pStyle w:val="FirstParagraph"/>
      </w:pPr>
      <w:r>
        <w:t xml:space="preserve">On the Q1 call, the 737 was stabilized at</w:t>
      </w:r>
      <w:r>
        <w:t xml:space="preserve"> </w:t>
      </w:r>
      <w:r>
        <w:rPr>
          <w:b/>
          <w:bCs/>
        </w:rPr>
        <w:t xml:space="preserve">42/month</w:t>
      </w:r>
      <w:r>
        <w:t xml:space="preserve"> </w:t>
      </w:r>
      <w:r>
        <w:t xml:space="preserve">with a plan to reach</w:t>
      </w:r>
      <w:r>
        <w:t xml:space="preserve"> </w:t>
      </w:r>
      <w:r>
        <w:rPr>
          <w:b/>
          <w:bCs/>
        </w:rPr>
        <w:t xml:space="preserve">47 this summer</w:t>
      </w:r>
      <w:r>
        <w:t xml:space="preserve">. As of mid-July, Ortberg publicly confirmed Boeing</w:t>
      </w:r>
      <w:r>
        <w:t xml:space="preserve"> </w:t>
      </w:r>
      <w:r>
        <w:rPr>
          <w:b/>
          <w:bCs/>
        </w:rPr>
        <w:t xml:space="preserve">is now at 47/month, with aspirations toward 63</w:t>
      </w:r>
      <w:r>
        <w:t xml:space="preserve">. The next leg (to 52) hinges on activating the new</w:t>
      </w:r>
      <w:r>
        <w:t xml:space="preserve"> </w:t>
      </w:r>
      <w:r>
        <w:rPr>
          <w:b/>
          <w:bCs/>
        </w:rPr>
        <w:t xml:space="preserve">Everett "North Line"</w:t>
      </w:r>
      <w:r>
        <w:t xml:space="preserve"> </w:t>
      </w:r>
      <w:r>
        <w:t xml:space="preserve">later this year plus FAA sign-off. Watch for: confirmation of the 47 rate, North Line progress, the</w:t>
      </w:r>
      <w:r>
        <w:t xml:space="preserve"> </w:t>
      </w:r>
      <w:r>
        <w:rPr>
          <w:b/>
          <w:bCs/>
        </w:rPr>
        <w:t xml:space="preserve">~500 737 full-year delivery target</w:t>
      </w:r>
      <w:r>
        <w:t xml:space="preserve">, and whether Spirit AeroSystems integration is holding up quality/flow.</w:t>
      </w:r>
    </w:p>
    <w:bookmarkEnd w:id="14"/>
    <w:bookmarkStart w:id="15" w:name="X3633013daf2ee111f8b9eefd4eccb39e173d9c0"/>
    <w:p>
      <w:pPr>
        <w:pStyle w:val="Heading3"/>
      </w:pPr>
      <w:r>
        <w:t xml:space="preserve">3. Certification catalysts — MAX 7/10 and 777X</w:t>
      </w:r>
    </w:p>
    <w:p>
      <w:pPr>
        <w:pStyle w:val="FirstParagraph"/>
      </w:pPr>
      <w:r>
        <w:t xml:space="preserve">This is where the near-term surprise potential lives:</w:t>
      </w:r>
    </w:p>
    <w:p>
      <w:pPr>
        <w:pStyle w:val="Compact"/>
        <w:numPr>
          <w:ilvl w:val="0"/>
          <w:numId w:val="1002"/>
        </w:numPr>
      </w:pPr>
      <w:r>
        <w:rPr>
          <w:b/>
          <w:bCs/>
        </w:rPr>
        <w:t xml:space="preserve">MAX 7/10:</w:t>
      </w:r>
      <w:r>
        <w:t xml:space="preserve"> </w:t>
      </w:r>
      <w:r>
        <w:t xml:space="preserve">The engine anti-ice fix is reportedly in the final stages of approval, and the FAA has signaled MAX 7 certification is "around the corner" with MAX 10 close behind. Boeing has</w:t>
      </w:r>
      <w:r>
        <w:t xml:space="preserve"> </w:t>
      </w:r>
      <w:r>
        <w:rPr>
          <w:b/>
          <w:bCs/>
        </w:rPr>
        <w:t xml:space="preserve">~30 MAX 7s and ~9 MAX 10s already built and awaiting delivery</w:t>
      </w:r>
      <w:r>
        <w:t xml:space="preserve"> </w:t>
      </w:r>
      <w:r>
        <w:t xml:space="preserve">— certification unlocks stored value, with first deliveries in 2027.</w:t>
      </w:r>
    </w:p>
    <w:p>
      <w:pPr>
        <w:pStyle w:val="Compact"/>
        <w:numPr>
          <w:ilvl w:val="0"/>
          <w:numId w:val="1002"/>
        </w:numPr>
      </w:pPr>
      <w:r>
        <w:rPr>
          <w:b/>
          <w:bCs/>
        </w:rPr>
        <w:t xml:space="preserve">777X:</w:t>
      </w:r>
      <w:r>
        <w:t xml:space="preserve"> </w:t>
      </w:r>
      <w:r>
        <w:t xml:space="preserve">First delivery targeted for</w:t>
      </w:r>
      <w:r>
        <w:t xml:space="preserve"> </w:t>
      </w:r>
      <w:r>
        <w:rPr>
          <w:b/>
          <w:bCs/>
        </w:rPr>
        <w:t xml:space="preserve">2027</w:t>
      </w:r>
      <w:r>
        <w:t xml:space="preserve">; watch for</w:t>
      </w:r>
      <w:r>
        <w:t xml:space="preserve"> </w:t>
      </w:r>
      <w:r>
        <w:rPr>
          <w:b/>
          <w:bCs/>
        </w:rPr>
        <w:t xml:space="preserve">TIA 4b</w:t>
      </w:r>
      <w:r>
        <w:t xml:space="preserve"> </w:t>
      </w:r>
      <w:r>
        <w:t xml:space="preserve">authorization (a large flight-test package) and confirmation that GE's engine durability fix is folded into the plan. Roughly</w:t>
      </w:r>
      <w:r>
        <w:t xml:space="preserve"> </w:t>
      </w:r>
      <w:r>
        <w:rPr>
          <w:b/>
          <w:bCs/>
        </w:rPr>
        <w:t xml:space="preserve">30 built 777Xs</w:t>
      </w:r>
      <w:r>
        <w:t xml:space="preserve"> </w:t>
      </w:r>
      <w:r>
        <w:t xml:space="preserve">face a multi-year change-incorporation effort.</w:t>
      </w:r>
    </w:p>
    <w:bookmarkEnd w:id="15"/>
    <w:bookmarkStart w:id="16" w:name="X4263768ca374fddfe165e5c552c51a026397b88"/>
    <w:p>
      <w:pPr>
        <w:pStyle w:val="Heading3"/>
      </w:pPr>
      <w:r>
        <w:t xml:space="preserve">4. Restoration of FAA trust</w:t>
      </w:r>
    </w:p>
    <w:p>
      <w:pPr>
        <w:pStyle w:val="FirstParagraph"/>
      </w:pPr>
      <w:r>
        <w:t xml:space="preserve">A quietly important development: in mid-July the FAA</w:t>
      </w:r>
      <w:r>
        <w:t xml:space="preserve"> </w:t>
      </w:r>
      <w:r>
        <w:rPr>
          <w:b/>
          <w:bCs/>
        </w:rPr>
        <w:t xml:space="preserve">returned airworthiness "ticketing" authority to Boeing for the 737 MAX and 787</w:t>
      </w:r>
      <w:r>
        <w:t xml:space="preserve">, letting Boeing sign off final safety inspections again — characterized as a government vote of confidence. This is a structural positive for delivery cadence and a signal the post-Alaska-Air-blowout restrictions are easing.</w:t>
      </w:r>
    </w:p>
    <w:bookmarkEnd w:id="16"/>
    <w:bookmarkStart w:id="17" w:name="X45e967312a9a9ee19fec9a02079b34fa988197f"/>
    <w:p>
      <w:pPr>
        <w:pStyle w:val="Heading3"/>
      </w:pPr>
      <w:r>
        <w:t xml:space="preserve">5. 787 supply-chain bottleneck</w:t>
      </w:r>
    </w:p>
    <w:p>
      <w:pPr>
        <w:pStyle w:val="FirstParagraph"/>
      </w:pPr>
      <w:r>
        <w:t xml:space="preserve">The 787 is stuck at</w:t>
      </w:r>
      <w:r>
        <w:t xml:space="preserve"> </w:t>
      </w:r>
      <w:r>
        <w:rPr>
          <w:b/>
          <w:bCs/>
        </w:rPr>
        <w:t xml:space="preserve">8/month</w:t>
      </w:r>
      <w:r>
        <w:t xml:space="preserve">, with the ramp to</w:t>
      </w:r>
      <w:r>
        <w:t xml:space="preserve"> </w:t>
      </w:r>
      <w:r>
        <w:rPr>
          <w:b/>
          <w:bCs/>
        </w:rPr>
        <w:t xml:space="preserve">10</w:t>
      </w:r>
      <w:r>
        <w:t xml:space="preserve"> </w:t>
      </w:r>
      <w:r>
        <w:t xml:space="preserve">gated by</w:t>
      </w:r>
      <w:r>
        <w:t xml:space="preserve"> </w:t>
      </w:r>
      <w:r>
        <w:rPr>
          <w:b/>
          <w:bCs/>
        </w:rPr>
        <w:t xml:space="preserve">GE GEnx engine deliveries</w:t>
      </w:r>
      <w:r>
        <w:t xml:space="preserve"> </w:t>
      </w:r>
      <w:r>
        <w:t xml:space="preserve">and</w:t>
      </w:r>
      <w:r>
        <w:t xml:space="preserve"> </w:t>
      </w:r>
      <w:r>
        <w:rPr>
          <w:b/>
          <w:bCs/>
        </w:rPr>
        <w:t xml:space="preserve">premium-seat certifications</w:t>
      </w:r>
      <w:r>
        <w:t xml:space="preserve"> </w:t>
      </w:r>
      <w:r>
        <w:t xml:space="preserve">— not the factory. GE's CEO has pushed back, saying months of engines are already on-site in Charleston. Watch whether the FY</w:t>
      </w:r>
      <w:r>
        <w:t xml:space="preserve"> </w:t>
      </w:r>
      <w:r>
        <w:rPr>
          <w:b/>
          <w:bCs/>
        </w:rPr>
        <w:t xml:space="preserve">90–100 delivery</w:t>
      </w:r>
      <w:r>
        <w:t xml:space="preserve"> </w:t>
      </w:r>
      <w:r>
        <w:t xml:space="preserve">range holds and whether the rate-10 timeline slips.</w:t>
      </w:r>
    </w:p>
    <w:p>
      <w:r>
        <w:pict>
          <v:rect style="width:0;height:1.5pt" o:hralign="center" o:hrstd="t" o:hr="t"/>
        </w:pict>
      </w:r>
    </w:p>
    <w:bookmarkEnd w:id="17"/>
    <w:bookmarkEnd w:id="18"/>
    <w:bookmarkStart w:id="19" w:name="orders--demand--the-tailwind"/>
    <w:p>
      <w:pPr>
        <w:pStyle w:val="Heading2"/>
      </w:pPr>
      <w:r>
        <w:t xml:space="preserve">Orders &amp; demand — the tailwind</w:t>
      </w:r>
    </w:p>
    <w:p>
      <w:pPr>
        <w:pStyle w:val="Compact"/>
        <w:numPr>
          <w:ilvl w:val="0"/>
          <w:numId w:val="1003"/>
        </w:numPr>
      </w:pPr>
      <w:r>
        <w:rPr>
          <w:b/>
          <w:bCs/>
        </w:rPr>
        <w:t xml:space="preserve">China:</w:t>
      </w:r>
      <w:r>
        <w:t xml:space="preserve"> </w:t>
      </w:r>
      <w:r>
        <w:t xml:space="preserve">A reported</w:t>
      </w:r>
      <w:r>
        <w:t xml:space="preserve"> </w:t>
      </w:r>
      <w:r>
        <w:rPr>
          <w:b/>
          <w:bCs/>
        </w:rPr>
        <w:t xml:space="preserve">order for 100 737 MAX jets</w:t>
      </w:r>
      <w:r>
        <w:t xml:space="preserve"> </w:t>
      </w:r>
      <w:r>
        <w:t xml:space="preserve">landed around July 20 — the long-awaited thaw Ortberg said was "a big number" and tied to US–China relations. Confirmation/sizing on the call would be a backlog and sentiment boost.</w:t>
      </w:r>
    </w:p>
    <w:p>
      <w:pPr>
        <w:pStyle w:val="Compact"/>
        <w:numPr>
          <w:ilvl w:val="0"/>
          <w:numId w:val="1003"/>
        </w:numPr>
      </w:pPr>
      <w:r>
        <w:rPr>
          <w:b/>
          <w:bCs/>
        </w:rPr>
        <w:t xml:space="preserve">Farnborough Airshow (mid-July):</w:t>
      </w:r>
      <w:r>
        <w:t xml:space="preserve"> </w:t>
      </w:r>
      <w:r>
        <w:t xml:space="preserve">Order activity including</w:t>
      </w:r>
      <w:r>
        <w:t xml:space="preserve"> </w:t>
      </w:r>
      <w:r>
        <w:rPr>
          <w:b/>
          <w:bCs/>
        </w:rPr>
        <w:t xml:space="preserve">Riyadh Air studying 25–30 more 787s</w:t>
      </w:r>
      <w:r>
        <w:t xml:space="preserve"> </w:t>
      </w:r>
      <w:r>
        <w:t xml:space="preserve">(converting options). Boeing kept its</w:t>
      </w:r>
      <w:r>
        <w:t xml:space="preserve"> </w:t>
      </w:r>
      <w:r>
        <w:rPr>
          <w:b/>
          <w:bCs/>
        </w:rPr>
        <w:t xml:space="preserve">20-year demand forecast (~44,000 aircraft)</w:t>
      </w:r>
      <w:r>
        <w:t xml:space="preserve"> </w:t>
      </w:r>
      <w:r>
        <w:t xml:space="preserve">unchanged, shrugging off Iran-war concerns.</w:t>
      </w:r>
    </w:p>
    <w:p>
      <w:pPr>
        <w:pStyle w:val="Compact"/>
        <w:numPr>
          <w:ilvl w:val="0"/>
          <w:numId w:val="1003"/>
        </w:numPr>
      </w:pPr>
      <w:r>
        <w:t xml:space="preserve">Backlog was already a record</w:t>
      </w:r>
      <w:r>
        <w:t xml:space="preserve"> </w:t>
      </w:r>
      <w:r>
        <w:rPr>
          <w:b/>
          <w:bCs/>
        </w:rPr>
        <w:t xml:space="preserve">$695B</w:t>
      </w:r>
      <w:r>
        <w:t xml:space="preserve">; expect it to grow again.</w:t>
      </w:r>
    </w:p>
    <w:p>
      <w:r>
        <w:pict>
          <v:rect style="width:0;height:1.5pt" o:hralign="center" o:hrstd="t" o:hr="t"/>
        </w:pict>
      </w:r>
    </w:p>
    <w:bookmarkEnd w:id="19"/>
    <w:bookmarkStart w:id="20" w:name="defense-bds--the-underappreciated-leg"/>
    <w:p>
      <w:pPr>
        <w:pStyle w:val="Heading2"/>
      </w:pPr>
      <w:r>
        <w:t xml:space="preserve">Defense (BDS) — the underappreciated leg</w:t>
      </w:r>
    </w:p>
    <w:p>
      <w:pPr>
        <w:pStyle w:val="FirstParagraph"/>
      </w:pPr>
      <w:r>
        <w:t xml:space="preserve">BDS is quietly turning: Q1 margin</w:t>
      </w:r>
      <w:r>
        <w:t xml:space="preserve"> </w:t>
      </w:r>
      <w:r>
        <w:rPr>
          <w:b/>
          <w:bCs/>
        </w:rPr>
        <w:t xml:space="preserve">3.1%</w:t>
      </w:r>
      <w:r>
        <w:t xml:space="preserve">, guided to</w:t>
      </w:r>
      <w:r>
        <w:t xml:space="preserve"> </w:t>
      </w:r>
      <w:r>
        <w:rPr>
          <w:b/>
          <w:bCs/>
        </w:rPr>
        <w:t xml:space="preserve">~3.5% for the year</w:t>
      </w:r>
      <w:r>
        <w:t xml:space="preserve">, marching toward</w:t>
      </w:r>
      <w:r>
        <w:t xml:space="preserve"> </w:t>
      </w:r>
      <w:r>
        <w:rPr>
          <w:b/>
          <w:bCs/>
        </w:rPr>
        <w:t xml:space="preserve">high-single-digit</w:t>
      </w:r>
      <w:r>
        <w:t xml:space="preserve"> </w:t>
      </w:r>
      <w:r>
        <w:t xml:space="preserve">with tighter underwriting and "active management" on legacy fixed-price programs. Tailwinds are real — rising defense budgets and elevated op-tempo benefit</w:t>
      </w:r>
      <w:r>
        <w:t xml:space="preserve"> </w:t>
      </w:r>
      <w:r>
        <w:rPr>
          <w:b/>
          <w:bCs/>
        </w:rPr>
        <w:t xml:space="preserve">KC-46 (ramping to ~19 deliveries this year), PAC-3 seekers, F-15EX, F-47, missiles/weapons</w:t>
      </w:r>
      <w:r>
        <w:t xml:space="preserve">. Management framed defense upside as a natural</w:t>
      </w:r>
      <w:r>
        <w:t xml:space="preserve"> </w:t>
      </w:r>
      <w:r>
        <w:rPr>
          <w:b/>
          <w:bCs/>
        </w:rPr>
        <w:t xml:space="preserve">offset</w:t>
      </w:r>
      <w:r>
        <w:t xml:space="preserve"> </w:t>
      </w:r>
      <w:r>
        <w:t xml:space="preserve">to any commercial aftermarket softness from higher fuel prices. BGS remains the steady ~18%-margin cash engine.</w:t>
      </w:r>
    </w:p>
    <w:p>
      <w:r>
        <w:pict>
          <v:rect style="width:0;height:1.5pt" o:hralign="center" o:hrstd="t" o:hr="t"/>
        </w:pict>
      </w:r>
    </w:p>
    <w:bookmarkEnd w:id="20"/>
    <w:bookmarkStart w:id="21" w:name="key-risks--watch-items"/>
    <w:p>
      <w:pPr>
        <w:pStyle w:val="Heading2"/>
      </w:pPr>
      <w:r>
        <w:t xml:space="preserve">Key risks / watch-items</w:t>
      </w:r>
    </w:p>
    <w:p>
      <w:pPr>
        <w:pStyle w:val="Compact"/>
        <w:numPr>
          <w:ilvl w:val="0"/>
          <w:numId w:val="1004"/>
        </w:numPr>
      </w:pPr>
      <w:r>
        <w:rPr>
          <w:b/>
          <w:bCs/>
        </w:rPr>
        <w:t xml:space="preserve">Middle East / Iran war &amp; fuel prices:</w:t>
      </w:r>
      <w:r>
        <w:t xml:space="preserve"> </w:t>
      </w:r>
      <w:r>
        <w:t xml:space="preserve">No delivery-deferral requests so far, but management flagged</w:t>
      </w:r>
      <w:r>
        <w:t xml:space="preserve"> </w:t>
      </w:r>
      <w:r>
        <w:rPr>
          <w:b/>
          <w:bCs/>
        </w:rPr>
        <w:t xml:space="preserve">flight-hours-driven aftermarket</w:t>
      </w:r>
      <w:r>
        <w:t xml:space="preserve"> </w:t>
      </w:r>
      <w:r>
        <w:t xml:space="preserve">as the first place weakness would appear. ~14% of unit backlog is Middle East, though two-thirds delivers 2030+.</w:t>
      </w:r>
    </w:p>
    <w:p>
      <w:pPr>
        <w:pStyle w:val="Compact"/>
        <w:numPr>
          <w:ilvl w:val="0"/>
          <w:numId w:val="1004"/>
        </w:numPr>
      </w:pPr>
      <w:r>
        <w:rPr>
          <w:b/>
          <w:bCs/>
        </w:rPr>
        <w:t xml:space="preserve">Linearity:</w:t>
      </w:r>
      <w:r>
        <w:t xml:space="preserve"> </w:t>
      </w:r>
      <w:r>
        <w:t xml:space="preserve">787 deliveries in particular have been lumpy (seat certs). Expect management to caution against straight-lining quarterly cadence.</w:t>
      </w:r>
    </w:p>
    <w:p>
      <w:pPr>
        <w:pStyle w:val="Compact"/>
        <w:numPr>
          <w:ilvl w:val="0"/>
          <w:numId w:val="1004"/>
        </w:numPr>
      </w:pPr>
      <w:r>
        <w:rPr>
          <w:b/>
          <w:bCs/>
        </w:rPr>
        <w:t xml:space="preserve">Balance sheet:</w:t>
      </w:r>
      <w:r>
        <w:t xml:space="preserve"> </w:t>
      </w:r>
      <w:r>
        <w:t xml:space="preserve">Continued deleveraging is essential to defending the</w:t>
      </w:r>
      <w:r>
        <w:t xml:space="preserve"> </w:t>
      </w:r>
      <w:r>
        <w:rPr>
          <w:b/>
          <w:bCs/>
        </w:rPr>
        <w:t xml:space="preserve">investment-grade rating</w:t>
      </w:r>
      <w:r>
        <w:t xml:space="preserve">; $1.4B of maturities remain this year. Watch the mandatory convertible preferred (dilution) commentary.</w:t>
      </w:r>
    </w:p>
    <w:p>
      <w:pPr>
        <w:pStyle w:val="Compact"/>
        <w:numPr>
          <w:ilvl w:val="0"/>
          <w:numId w:val="1004"/>
        </w:numPr>
      </w:pPr>
      <w:r>
        <w:rPr>
          <w:b/>
          <w:bCs/>
        </w:rPr>
        <w:t xml:space="preserve">New-aircraft question:</w:t>
      </w:r>
      <w:r>
        <w:t xml:space="preserve"> </w:t>
      </w:r>
      <w:r>
        <w:t xml:space="preserve">Ortberg reiterated Boeing needs "a couple more years" to repair finances before launching a 737 successor — relevant as Airbus advances its next narrow-body decisions.</w:t>
      </w:r>
    </w:p>
    <w:p>
      <w:r>
        <w:pict>
          <v:rect style="width:0;height:1.5pt" o:hralign="center" o:hrstd="t" o:hr="t"/>
        </w:pict>
      </w:r>
    </w:p>
    <w:bookmarkEnd w:id="21"/>
    <w:bookmarkStart w:id="22" w:name="bottom-line-for-investors"/>
    <w:p>
      <w:pPr>
        <w:pStyle w:val="Heading2"/>
      </w:pPr>
      <w:r>
        <w:t xml:space="preserve">Bottom line for investors</w:t>
      </w:r>
    </w:p>
    <w:p>
      <w:pPr>
        <w:pStyle w:val="FirstParagraph"/>
      </w:pPr>
      <w:r>
        <w:t xml:space="preserve">The bar into the print is "prove the recovery is compounding, not just stabilizing." A clean quarter would show:</w:t>
      </w:r>
      <w:r>
        <w:t xml:space="preserve"> </w:t>
      </w:r>
      <w:r>
        <w:rPr>
          <w:b/>
          <w:bCs/>
        </w:rPr>
        <w:t xml:space="preserve">Q2 FCF at/better than the guided small outflow, FY $1–3B FCF reaffirmed, 737 confirmed at 47/month, MAX 7/10 certification imminent, 787 rate-10 on track, and the China/Farnborough orders locking in backlog.</w:t>
      </w:r>
      <w:r>
        <w:t xml:space="preserve"> </w:t>
      </w:r>
      <w:r>
        <w:t xml:space="preserve">With the stock having pulled back ~10% from July highs, a solid execution quarter plus any FCF or certification upside could re-rate shares; conversely, given how much good news (certification, FAA trust, China order) is arguably priced in, the risk is a "sell-the-news" reaction if the cash-flow path or 787 supply chain disappoints. The balance of catalysts skews positive, but this is a show-me quarter on cash.</w:t>
      </w:r>
    </w:p>
    <w:p>
      <w:pPr>
        <w:pStyle w:val="BodyText"/>
      </w:pPr>
      <w:r>
        <w:rPr>
          <w:i/>
          <w:iCs/>
        </w:rPr>
        <w:t xml:space="preserve">Note: References to Q2 results reflect pre-report expectations and management's prior guidance; actuals will be reported the morning of July 28.</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2026-07-28T00:59:41Z</dcterms:created>
  <dcterms:modified xsi:type="dcterms:W3CDTF">2026-07-28T00:59:41Z</dcterms:modified>
</cp:coreProperties>
</file>

<file path=docProps/custom.xml><?xml version="1.0" encoding="utf-8"?>
<Properties xmlns="http://schemas.openxmlformats.org/officeDocument/2006/custom-properties" xmlns:vt="http://schemas.openxmlformats.org/officeDocument/2006/docPropsVTypes"/>
</file>