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let me check on the Ryanair 737 incident and DOJ settlement status for additional risk context.Now I have enough material. Let me write the earnings preview.# Boeing (NYSE: BA) — Q2 2026 Earnings Preview</w:t>
      </w:r>
      <w:r>
        <w:t xml:space="preserve"> </w:t>
      </w:r>
      <w:r>
        <w:rPr>
          <w:b/>
          <w:bCs/>
        </w:rPr>
        <w:t xml:space="preserve">Report Date:</w:t>
      </w:r>
      <w:r>
        <w:t xml:space="preserve"> </w:t>
      </w:r>
      <w:r>
        <w:t xml:space="preserve">Tuesday, July 28, 2026, before market open |</w:t>
      </w:r>
      <w:r>
        <w:t xml:space="preserve"> </w:t>
      </w:r>
      <w:r>
        <w:rPr>
          <w:b/>
          <w:bCs/>
        </w:rPr>
        <w:t xml:space="preserve">Call:</w:t>
      </w:r>
      <w:r>
        <w:t xml:space="preserve"> </w:t>
      </w:r>
      <w:r>
        <w:t xml:space="preserve">2026Q2 Earnings Call</w:t>
      </w:r>
    </w:p>
    <w:p>
      <w:r>
        <w:pict>
          <v:rect style="width:0;height:1.5pt" o:hralign="center" o:hrstd="t" o:hr="t"/>
        </w:pict>
      </w:r>
    </w:p>
    <w:bookmarkStart w:id="9" w:name="setup-into-the-print"/>
    <w:p>
      <w:pPr>
        <w:pStyle w:val="Heading2"/>
      </w:pPr>
      <w:r>
        <w:t xml:space="preserve">Setup Into the Print</w:t>
      </w:r>
    </w:p>
    <w:p>
      <w:pPr>
        <w:pStyle w:val="FirstParagraph"/>
      </w:pPr>
      <w:r>
        <w:t xml:space="preserve">Boeing shares have pulled back from a June high near $234 (July 6) to around $211-212 heading into the report, down roughly 5-6% over the past month even as operational headlines have generally trended positive. The stock is consolidating with technical support near $208-209 and resistance around $212-216.</w:t>
      </w:r>
    </w:p>
    <w:p>
      <w:pPr>
        <w:pStyle w:val="BodyText"/>
      </w:pPr>
      <w:r>
        <w:t xml:space="preserve">Wall Street sentiment remains firmly constructive: consensus carries a</w:t>
      </w:r>
      <w:r>
        <w:t xml:space="preserve"> </w:t>
      </w:r>
      <w:r>
        <w:rPr>
          <w:b/>
          <w:bCs/>
        </w:rPr>
        <w:t xml:space="preserve">Strong Buy</w:t>
      </w:r>
      <w:r>
        <w:t xml:space="preserve"> </w:t>
      </w:r>
      <w:r>
        <w:t xml:space="preserve">rating (13 Buys, 1 Hold over the past three months) with analysts pointing to roughly 33% upside potential to average price targets. Consensus estimates call for a</w:t>
      </w:r>
      <w:r>
        <w:t xml:space="preserve"> </w:t>
      </w:r>
      <w:r>
        <w:rPr>
          <w:b/>
          <w:bCs/>
        </w:rPr>
        <w:t xml:space="preserve">core loss per share of roughly -</w:t>
      </w:r>
      <m:oMath>
        <m:r>
          <m:t>0.28</m:t>
        </m:r>
        <m:r>
          <m:t>t</m:t>
        </m:r>
        <m:r>
          <m:t>o</m:t>
        </m:r>
        <m:r>
          <m:rPr>
            <m:sty m:val="p"/>
          </m:rPr>
          <m:t>−</m:t>
        </m:r>
      </m:oMath>
      <w:r>
        <w:rPr>
          <w:b/>
          <w:bCs/>
        </w:rPr>
        <w:t xml:space="preserve">0.34</w:t>
      </w:r>
      <w:r>
        <w:t xml:space="preserve"> </w:t>
      </w:r>
      <w:r>
        <w:t xml:space="preserve">on</w:t>
      </w:r>
      <w:r>
        <w:t xml:space="preserve"> </w:t>
      </w:r>
      <w:r>
        <w:rPr>
          <w:b/>
          <w:bCs/>
        </w:rPr>
        <w:t xml:space="preserve">revenue of approximately</w:t>
      </w:r>
      <w:r>
        <w:rPr>
          <w:b/>
          <w:bCs/>
        </w:rPr>
        <w:t xml:space="preserve"> </w:t>
      </w:r>
      <m:oMath>
        <m:r>
          <m:t>24.05</m:t>
        </m:r>
        <m:r>
          <m:rPr>
            <m:sty m:val="p"/>
          </m:rPr>
          <m:t>–</m:t>
        </m:r>
      </m:oMath>
      <w:r>
        <w:rPr>
          <w:b/>
          <w:bCs/>
        </w:rPr>
        <w:t xml:space="preserve">24.27 billion</w:t>
      </w:r>
      <w:r>
        <w:t xml:space="preserve">, which would represent a meaningfully narrower loss and continued double-digit revenue growth versus the prior year.</w:t>
      </w:r>
    </w:p>
    <w:bookmarkEnd w:id="9"/>
    <w:bookmarkStart w:id="10" w:name="Xed13770e0f826c14b4327dff19793d67dfa3af4"/>
    <w:p>
      <w:pPr>
        <w:pStyle w:val="Heading2"/>
      </w:pPr>
      <w:r>
        <w:t xml:space="preserve">What Happened Last Quarter (Q1 2026 Recap — the Baseline)</w:t>
      </w:r>
    </w:p>
    <w:p>
      <w:pPr>
        <w:pStyle w:val="FirstParagraph"/>
      </w:pPr>
      <w:r>
        <w:t xml:space="preserve">Boeing's Q1 2026 showed continued recovery: revenue increased to</w:t>
      </w:r>
      <w:r>
        <w:t xml:space="preserve"> </w:t>
      </w:r>
      <m:oMath>
        <m:r>
          <m:t>22.2</m:t>
        </m:r>
        <m:r>
          <m:t>b</m:t>
        </m:r>
        <m:r>
          <m:t>i</m:t>
        </m:r>
        <m:r>
          <m:t>l</m:t>
        </m:r>
        <m:r>
          <m:t>l</m:t>
        </m:r>
        <m:r>
          <m:t>i</m:t>
        </m:r>
        <m:r>
          <m:t>o</m:t>
        </m:r>
        <m:r>
          <m:t>n</m:t>
        </m:r>
        <m:r>
          <m:t>p</m:t>
        </m:r>
        <m:r>
          <m:t>r</m:t>
        </m:r>
        <m:r>
          <m:t>i</m:t>
        </m:r>
        <m:r>
          <m:t>m</m:t>
        </m:r>
        <m:r>
          <m:t>a</m:t>
        </m:r>
        <m:r>
          <m:t>r</m:t>
        </m:r>
        <m:r>
          <m:t>i</m:t>
        </m:r>
        <m:r>
          <m:t>l</m:t>
        </m:r>
        <m:r>
          <m:t>y</m:t>
        </m:r>
        <m:r>
          <m:t>r</m:t>
        </m:r>
        <m:r>
          <m:t>e</m:t>
        </m:r>
        <m:r>
          <m:t>f</m:t>
        </m:r>
        <m:r>
          <m:t>l</m:t>
        </m:r>
        <m:r>
          <m:t>e</m:t>
        </m:r>
        <m:r>
          <m:t>c</m:t>
        </m:r>
        <m:r>
          <m:t>t</m:t>
        </m:r>
        <m:r>
          <m:t>i</m:t>
        </m:r>
        <m:r>
          <m:t>n</m:t>
        </m:r>
        <m:r>
          <m:t>g</m:t>
        </m:r>
        <m:r>
          <m:t>143</m:t>
        </m:r>
        <m:r>
          <m:t>c</m:t>
        </m:r>
        <m:r>
          <m:t>o</m:t>
        </m:r>
        <m:r>
          <m:t>m</m:t>
        </m:r>
        <m:r>
          <m:t>m</m:t>
        </m:r>
        <m:r>
          <m:t>e</m:t>
        </m:r>
        <m:r>
          <m:t>r</m:t>
        </m:r>
        <m:r>
          <m:t>c</m:t>
        </m:r>
        <m:r>
          <m:t>i</m:t>
        </m:r>
        <m:r>
          <m:t>a</m:t>
        </m:r>
        <m:r>
          <m:t>l</m:t>
        </m:r>
        <m:r>
          <m:t>d</m:t>
        </m:r>
        <m:r>
          <m:t>e</m:t>
        </m:r>
        <m:r>
          <m:t>l</m:t>
        </m:r>
        <m:r>
          <m:t>i</m:t>
        </m:r>
        <m:r>
          <m:t>v</m:t>
        </m:r>
        <m:r>
          <m:t>e</m:t>
        </m:r>
        <m:r>
          <m:t>r</m:t>
        </m:r>
        <m:r>
          <m:t>i</m:t>
        </m:r>
        <m:r>
          <m:t>e</m:t>
        </m:r>
        <m:r>
          <m:t>s</m:t>
        </m:r>
        <m:r>
          <m:rPr>
            <m:sty m:val="p"/>
          </m:rPr>
          <m:t>,</m:t>
        </m:r>
        <m:r>
          <m:t>w</m:t>
        </m:r>
        <m:r>
          <m:t>i</m:t>
        </m:r>
        <m:r>
          <m:t>t</m:t>
        </m:r>
        <m:r>
          <m:t>h</m:t>
        </m:r>
        <m:r>
          <m:t>G</m:t>
        </m:r>
        <m:r>
          <m:t>A</m:t>
        </m:r>
        <m:r>
          <m:t>A</m:t>
        </m:r>
        <m:r>
          <m:t>P</m:t>
        </m:r>
        <m:r>
          <m:t>l</m:t>
        </m:r>
        <m:r>
          <m:t>o</m:t>
        </m:r>
        <m:r>
          <m:t>s</m:t>
        </m:r>
        <m:r>
          <m:t>s</m:t>
        </m:r>
        <m:r>
          <m:t>p</m:t>
        </m:r>
        <m:r>
          <m:t>e</m:t>
        </m:r>
        <m:r>
          <m:t>r</m:t>
        </m:r>
        <m:r>
          <m:t>s</m:t>
        </m:r>
        <m:r>
          <m:t>h</m:t>
        </m:r>
        <m:r>
          <m:t>a</m:t>
        </m:r>
        <m:r>
          <m:t>r</m:t>
        </m:r>
        <m:r>
          <m:t>e</m:t>
        </m:r>
        <m:r>
          <m:t>o</m:t>
        </m:r>
        <m:r>
          <m:t>f</m:t>
        </m:r>
        <m:r>
          <m:rPr>
            <m:sty m:val="p"/>
          </m:rPr>
          <m:t>(</m:t>
        </m:r>
      </m:oMath>
      <w:r>
        <w:t xml:space="preserve">0.11) and core loss per share (non-GAAP) of (</w:t>
      </w:r>
      <m:oMath>
        <m:r>
          <m:t>0.20</m:t>
        </m:r>
        <m:r>
          <m:rPr>
            <m:sty m:val="p"/>
          </m:rPr>
          <m:t>)</m:t>
        </m:r>
        <m:r>
          <m:rPr>
            <m:sty m:val="p"/>
          </m:rPr>
          <m:t>.</m:t>
        </m:r>
        <m:r>
          <m:t>O</m:t>
        </m:r>
        <m:r>
          <m:t>p</m:t>
        </m:r>
        <m:r>
          <m:t>e</m:t>
        </m:r>
        <m:r>
          <m:t>r</m:t>
        </m:r>
        <m:r>
          <m:t>a</m:t>
        </m:r>
        <m:r>
          <m:t>t</m:t>
        </m:r>
        <m:r>
          <m:t>i</m:t>
        </m:r>
        <m:r>
          <m:t>n</m:t>
        </m:r>
        <m:r>
          <m:t>g</m:t>
        </m:r>
        <m:r>
          <m:t>c</m:t>
        </m:r>
        <m:r>
          <m:t>a</m:t>
        </m:r>
        <m:r>
          <m:t>s</m:t>
        </m:r>
        <m:r>
          <m:t>h</m:t>
        </m:r>
        <m:r>
          <m:t>f</m:t>
        </m:r>
        <m:r>
          <m:t>l</m:t>
        </m:r>
        <m:r>
          <m:t>o</m:t>
        </m:r>
        <m:r>
          <m:t>w</m:t>
        </m:r>
        <m:r>
          <m:t>w</m:t>
        </m:r>
        <m:r>
          <m:t>a</m:t>
        </m:r>
        <m:r>
          <m:t>s</m:t>
        </m:r>
        <m:r>
          <m:rPr>
            <m:sty m:val="p"/>
          </m:rPr>
          <m:t>(</m:t>
        </m:r>
      </m:oMath>
      <w:r>
        <w:t xml:space="preserve">0.2) billion and free cash flow (non-GAAP) was ($1.5) billion, while total company backlog grew to a record</w:t>
      </w:r>
      <w:r>
        <w:t xml:space="preserve"> </w:t>
      </w:r>
      <m:oMath>
        <m:r>
          <m:t>695</m:t>
        </m:r>
        <m:r>
          <m:t>b</m:t>
        </m:r>
        <m:r>
          <m:t>i</m:t>
        </m:r>
        <m:r>
          <m:t>l</m:t>
        </m:r>
        <m:r>
          <m:t>l</m:t>
        </m:r>
        <m:r>
          <m:t>i</m:t>
        </m:r>
        <m:r>
          <m:t>o</m:t>
        </m:r>
        <m:r>
          <m:t>n</m:t>
        </m:r>
        <m:r>
          <m:rPr>
            <m:sty m:val="p"/>
          </m:rPr>
          <m:t>,</m:t>
        </m:r>
        <m:r>
          <m:t>i</m:t>
        </m:r>
        <m:r>
          <m:t>n</m:t>
        </m:r>
        <m:r>
          <m:t>c</m:t>
        </m:r>
        <m:r>
          <m:t>l</m:t>
        </m:r>
        <m:r>
          <m:t>u</m:t>
        </m:r>
        <m:r>
          <m:t>d</m:t>
        </m:r>
        <m:r>
          <m:t>i</m:t>
        </m:r>
        <m:r>
          <m:t>n</m:t>
        </m:r>
        <m:r>
          <m:t>g</m:t>
        </m:r>
        <m:r>
          <m:t>o</m:t>
        </m:r>
        <m:r>
          <m:t>v</m:t>
        </m:r>
        <m:r>
          <m:t>e</m:t>
        </m:r>
        <m:r>
          <m:t>r</m:t>
        </m:r>
        <m:r>
          <m:t>6</m:t>
        </m:r>
        <m:r>
          <m:rPr>
            <m:sty m:val="p"/>
          </m:rPr>
          <m:t>,</m:t>
        </m:r>
        <m:r>
          <m:t>100</m:t>
        </m:r>
        <m:r>
          <m:t>c</m:t>
        </m:r>
        <m:r>
          <m:t>o</m:t>
        </m:r>
        <m:r>
          <m:t>m</m:t>
        </m:r>
        <m:r>
          <m:t>m</m:t>
        </m:r>
        <m:r>
          <m:t>e</m:t>
        </m:r>
        <m:r>
          <m:t>r</m:t>
        </m:r>
        <m:r>
          <m:t>c</m:t>
        </m:r>
        <m:r>
          <m:t>i</m:t>
        </m:r>
        <m:r>
          <m:t>a</m:t>
        </m:r>
        <m:r>
          <m:t>l</m:t>
        </m:r>
        <m:r>
          <m:t>a</m:t>
        </m:r>
        <m:r>
          <m:t>i</m:t>
        </m:r>
        <m:r>
          <m:t>r</m:t>
        </m:r>
        <m:r>
          <m:t>p</m:t>
        </m:r>
        <m:r>
          <m:t>l</m:t>
        </m:r>
        <m:r>
          <m:t>a</m:t>
        </m:r>
        <m:r>
          <m:t>n</m:t>
        </m:r>
        <m:r>
          <m:t>e</m:t>
        </m:r>
        <m:r>
          <m:t>s</m:t>
        </m:r>
        <m:r>
          <m:rPr>
            <m:sty m:val="p"/>
          </m:rPr>
          <m:t>.</m:t>
        </m:r>
        <m:r>
          <m:t>M</m:t>
        </m:r>
        <m:r>
          <m:t>a</m:t>
        </m:r>
        <m:r>
          <m:t>n</m:t>
        </m:r>
        <m:r>
          <m:t>a</m:t>
        </m:r>
        <m:r>
          <m:t>g</m:t>
        </m:r>
        <m:r>
          <m:t>e</m:t>
        </m:r>
        <m:r>
          <m:t>m</m:t>
        </m:r>
        <m:r>
          <m:t>e</m:t>
        </m:r>
        <m:r>
          <m:t>n</m:t>
        </m:r>
        <m:r>
          <m:t>t</m:t>
        </m:r>
        <m:r>
          <m:t>r</m:t>
        </m:r>
        <m:r>
          <m:t>e</m:t>
        </m:r>
        <m:r>
          <m:t>i</m:t>
        </m:r>
        <m:r>
          <m:t>t</m:t>
        </m:r>
        <m:r>
          <m:t>e</m:t>
        </m:r>
        <m:r>
          <m:t>r</m:t>
        </m:r>
        <m:r>
          <m:t>a</m:t>
        </m:r>
        <m:r>
          <m:t>t</m:t>
        </m:r>
        <m:r>
          <m:t>e</m:t>
        </m:r>
        <m:r>
          <m:t>d</m:t>
        </m:r>
        <m:r>
          <m:t>f</m:t>
        </m:r>
        <m:r>
          <m:t>u</m:t>
        </m:r>
        <m:r>
          <m:t>l</m:t>
        </m:r>
        <m:r>
          <m:t>l</m:t>
        </m:r>
        <m:r>
          <m:rPr>
            <m:sty m:val="p"/>
          </m:rPr>
          <m:t>−</m:t>
        </m:r>
        <m:r>
          <m:t>y</m:t>
        </m:r>
        <m:r>
          <m:t>e</m:t>
        </m:r>
        <m:r>
          <m:t>a</m:t>
        </m:r>
        <m:r>
          <m:t>r</m:t>
        </m:r>
        <m:r>
          <m:t>g</m:t>
        </m:r>
        <m:r>
          <m:t>u</m:t>
        </m:r>
        <m:r>
          <m:t>i</m:t>
        </m:r>
        <m:r>
          <m:t>d</m:t>
        </m:r>
        <m:r>
          <m:t>a</m:t>
        </m:r>
        <m:r>
          <m:t>n</m:t>
        </m:r>
        <m:r>
          <m:t>c</m:t>
        </m:r>
        <m:r>
          <m:t>e</m:t>
        </m:r>
        <m:r>
          <m:t>o</m:t>
        </m:r>
        <m:r>
          <m:t>f</m:t>
        </m:r>
        <m:r>
          <m:rPr>
            <m:sty m:val="p"/>
          </m:rPr>
          <m:t>*</m:t>
        </m:r>
        <m:r>
          <m:rPr>
            <m:sty m:val="p"/>
          </m:rPr>
          <m:t>*</m:t>
        </m:r>
      </m:oMath>
      <w:r>
        <w:t xml:space="preserve">1–3 billion of positive free cash flow**, with an explicit expectation that Q2 would still be an outflow (management guided to "low hundreds of millions" of negative FCF) before turning positive in the back half.</w:t>
      </w:r>
    </w:p>
    <w:bookmarkEnd w:id="10"/>
    <w:bookmarkStart w:id="11" w:name="Xb17b41ba7870f4f726d2f8b35fdd63abb663c60"/>
    <w:p>
      <w:pPr>
        <w:pStyle w:val="Heading2"/>
      </w:pPr>
      <w:r>
        <w:t xml:space="preserve">Q2 Delivery Data Is Already Public — Solid Beat on Volume</w:t>
      </w:r>
    </w:p>
    <w:p>
      <w:pPr>
        <w:pStyle w:val="FirstParagraph"/>
      </w:pPr>
      <w:r>
        <w:t xml:space="preserve">Boeing pre-announces deliveries, and the Q2 print is known: the company delivered</w:t>
      </w:r>
      <w:r>
        <w:t xml:space="preserve"> </w:t>
      </w:r>
      <w:r>
        <w:rPr>
          <w:b/>
          <w:bCs/>
        </w:rPr>
        <w:t xml:space="preserve">171 commercial aircraft</w:t>
      </w:r>
      <w:r>
        <w:t xml:space="preserve"> </w:t>
      </w:r>
      <w:r>
        <w:t xml:space="preserve">in Q2 2026 (129 737s, 25 787s, 10 767s, 7 777s), bringing first-half deliveries to</w:t>
      </w:r>
      <w:r>
        <w:t xml:space="preserve"> </w:t>
      </w:r>
      <w:r>
        <w:rPr>
          <w:b/>
          <w:bCs/>
        </w:rPr>
        <w:t xml:space="preserve">314 units — Boeing's strongest first-half total since 2018</w:t>
      </w:r>
      <w:r>
        <w:t xml:space="preserve">. June alone saw 64 commercial deliveries, including 42 737 MAX and 13 787s, as the 737 line continued its push from 42 toward 47 per month. This is a</w:t>
      </w:r>
      <w:r>
        <w:t xml:space="preserve"> </w:t>
      </w:r>
      <w:r>
        <w:rPr>
          <w:b/>
          <w:bCs/>
        </w:rPr>
        <w:t xml:space="preserve">14% year-over-year increase</w:t>
      </w:r>
      <w:r>
        <w:t xml:space="preserve"> </w:t>
      </w:r>
      <w:r>
        <w:t xml:space="preserve">in deliveries and should be the primary driver of the expected revenue growth and narrowed loss.</w:t>
      </w:r>
    </w:p>
    <w:p>
      <w:pPr>
        <w:pStyle w:val="BodyText"/>
      </w:pPr>
      <w:r>
        <w:t xml:space="preserve">Watch for:</w:t>
      </w:r>
    </w:p>
    <w:p>
      <w:pPr>
        <w:pStyle w:val="Compact"/>
        <w:numPr>
          <w:ilvl w:val="0"/>
          <w:numId w:val="1001"/>
        </w:numPr>
      </w:pPr>
      <w:r>
        <w:rPr>
          <w:b/>
          <w:bCs/>
        </w:rPr>
        <w:t xml:space="preserve">Confirmation that 737 production is locked in at/near 47/month</w:t>
      </w:r>
      <w:r>
        <w:t xml:space="preserve">, with commentary on the ramp of the new Everett "North Line" (opened in July) that is critical to the eventual step-up to 52/month and beyond.</w:t>
      </w:r>
    </w:p>
    <w:p>
      <w:pPr>
        <w:pStyle w:val="Compact"/>
        <w:numPr>
          <w:ilvl w:val="0"/>
          <w:numId w:val="1001"/>
        </w:numPr>
      </w:pPr>
      <w:r>
        <w:rPr>
          <w:b/>
          <w:bCs/>
        </w:rPr>
        <w:t xml:space="preserve">787 delivery cadence</w:t>
      </w:r>
      <w:r>
        <w:t xml:space="preserve"> </w:t>
      </w:r>
      <w:r>
        <w:t xml:space="preserve">— production remains at 8/month with a goal of 10/month later this year, but deliveries have been paced by GEnx engine supply from GE Aerospace and lingering premium-seat certification delays. Several completed 787s reportedly shifted deliveries into late Q2/Q3.</w:t>
      </w:r>
    </w:p>
    <w:bookmarkEnd w:id="11"/>
    <w:bookmarkStart w:id="12" w:name="key-themes-to-watch-on-the-call"/>
    <w:p>
      <w:pPr>
        <w:pStyle w:val="Heading2"/>
      </w:pPr>
      <w:r>
        <w:t xml:space="preserve">Key Themes to Watch on the Call</w:t>
      </w:r>
    </w:p>
    <w:p>
      <w:pPr>
        <w:pStyle w:val="FirstParagraph"/>
      </w:pPr>
      <w:r>
        <w:rPr>
          <w:b/>
          <w:bCs/>
        </w:rPr>
        <w:t xml:space="preserve">1. Regulatory Tailwind — FAA Self-Certification Restored.</w:t>
      </w:r>
      <w:r>
        <w:t xml:space="preserve"> </w:t>
      </w:r>
      <w:r>
        <w:t xml:space="preserve">Effective July 20, 2026, the FAA restored Boeing's authority to issue final airworthiness certificates for all newly built 737 MAX and 787 jets — a meaningful vote of confidence and operational unlock that should reduce friction in the delivery pipeline going forward. Additionally, the FAA is expected to soon certify the long-delayed 737 MAX 7 and MAX 10 variants, with management targeting certification this year and first deliveries in 2027; roughly 30 MAX 7s and nine MAX 10s are already built and awaiting delivery.</w:t>
      </w:r>
    </w:p>
    <w:p>
      <w:pPr>
        <w:pStyle w:val="BodyText"/>
      </w:pPr>
      <w:r>
        <w:rPr>
          <w:b/>
          <w:bCs/>
        </w:rPr>
        <w:t xml:space="preserve">2. Free Cash Flow Trajectory.</w:t>
      </w:r>
      <w:r>
        <w:t xml:space="preserve"> </w:t>
      </w:r>
      <w:r>
        <w:t xml:space="preserve">This is likely the single most important number for the stock. Management guided Q2 to a modest cash outflow with a turn to positive FCF in the second half, aided by KC-46 advance payments and higher BCA delivery payments. Investors should listen for reaffirmation of the</w:t>
      </w:r>
      <w:r>
        <w:t xml:space="preserve"> </w:t>
      </w:r>
      <m:oMath>
        <m:r>
          <m:t>1</m:t>
        </m:r>
        <m:r>
          <m:rPr>
            <m:sty m:val="p"/>
          </m:rPr>
          <m:t>–</m:t>
        </m:r>
        <m:r>
          <m:t>3</m:t>
        </m:r>
        <m:r>
          <m:t>b</m:t>
        </m:r>
        <m:r>
          <m:t>i</m:t>
        </m:r>
        <m:r>
          <m:t>l</m:t>
        </m:r>
        <m:r>
          <m:t>l</m:t>
        </m:r>
        <m:r>
          <m:t>i</m:t>
        </m:r>
        <m:r>
          <m:t>o</m:t>
        </m:r>
        <m:r>
          <m:t>n</m:t>
        </m:r>
        <m:r>
          <m:t>f</m:t>
        </m:r>
        <m:r>
          <m:t>u</m:t>
        </m:r>
        <m:r>
          <m:t>l</m:t>
        </m:r>
        <m:r>
          <m:t>l</m:t>
        </m:r>
        <m:r>
          <m:rPr>
            <m:sty m:val="p"/>
          </m:rPr>
          <m:t>−</m:t>
        </m:r>
        <m:r>
          <m:t>y</m:t>
        </m:r>
        <m:r>
          <m:t>e</m:t>
        </m:r>
        <m:r>
          <m:t>a</m:t>
        </m:r>
        <m:r>
          <m:t>r</m:t>
        </m:r>
        <m:r>
          <m:t>F</m:t>
        </m:r>
        <m:r>
          <m:t>C</m:t>
        </m:r>
        <m:r>
          <m:t>F</m:t>
        </m:r>
        <m:r>
          <m:t>g</m:t>
        </m:r>
        <m:r>
          <m:t>u</m:t>
        </m:r>
        <m:r>
          <m:t>i</m:t>
        </m:r>
        <m:r>
          <m:t>d</m:t>
        </m:r>
        <m:r>
          <m:t>e</m:t>
        </m:r>
        <m:r>
          <m:rPr>
            <m:sty m:val="p"/>
          </m:rPr>
          <m:t>*</m:t>
        </m:r>
        <m:r>
          <m:rPr>
            <m:sty m:val="p"/>
          </m:rPr>
          <m:t>*</m:t>
        </m:r>
        <m:r>
          <m:t>a</m:t>
        </m:r>
        <m:r>
          <m:t>n</m:t>
        </m:r>
        <m:r>
          <m:t>d</m:t>
        </m:r>
        <m:r>
          <m:t>a</m:t>
        </m:r>
        <m:r>
          <m:t>n</m:t>
        </m:r>
        <m:r>
          <m:t>y</m:t>
        </m:r>
        <m:r>
          <m:t>e</m:t>
        </m:r>
        <m:r>
          <m:t>a</m:t>
        </m:r>
        <m:r>
          <m:t>r</m:t>
        </m:r>
        <m:r>
          <m:t>l</m:t>
        </m:r>
        <m:r>
          <m:t>y</m:t>
        </m:r>
        <m:r>
          <m:t>r</m:t>
        </m:r>
        <m:r>
          <m:t>e</m:t>
        </m:r>
        <m:r>
          <m:t>a</m:t>
        </m:r>
        <m:r>
          <m:t>d</m:t>
        </m:r>
        <m:r>
          <m:t>o</m:t>
        </m:r>
        <m:r>
          <m:t>n</m:t>
        </m:r>
        <m:r>
          <m:t>t</m:t>
        </m:r>
        <m:r>
          <m:t>h</m:t>
        </m:r>
        <m:r>
          <m:t>e</m:t>
        </m:r>
        <m:r>
          <m:rPr>
            <m:sty m:val="p"/>
          </m:rPr>
          <m:t>*</m:t>
        </m:r>
        <m:r>
          <m:rPr>
            <m:sty m:val="p"/>
          </m:rPr>
          <m:t>*</m:t>
        </m:r>
      </m:oMath>
      <w:r>
        <w:rPr>
          <w:b/>
          <w:bCs/>
        </w:rPr>
        <w:t xml:space="preserve">10 billion "attainable" longer-term target</w:t>
      </w:r>
      <w:r>
        <w:t xml:space="preserve">. Also watch for confirmation of the expected</w:t>
      </w:r>
      <w:r>
        <w:t xml:space="preserve"> </w:t>
      </w:r>
      <w:r>
        <w:rPr>
          <w:b/>
          <w:bCs/>
        </w:rPr>
        <w:t xml:space="preserve">DOJ-related payment in the second half of the year</w:t>
      </w:r>
      <w:r>
        <w:t xml:space="preserve">, which was already baked into guidance.</w:t>
      </w:r>
    </w:p>
    <w:p>
      <w:pPr>
        <w:pStyle w:val="BodyText"/>
      </w:pPr>
      <w:r>
        <w:rPr>
          <w:b/>
          <w:bCs/>
        </w:rPr>
        <w:t xml:space="preserve">3. Balance Sheet / Debt Reduction.</w:t>
      </w:r>
      <w:r>
        <w:t xml:space="preserve"> </w:t>
      </w:r>
      <w:r>
        <w:t xml:space="preserve">Boeing ended Q1 with $20.9 billion in cash and marketable securities and $47.2 billion of debt, having paid down $6.9 billion during the quarter. Continued deleveraging progress and commentary on the investment-grade rating will be in focus given the still-elevated debt load.</w:t>
      </w:r>
    </w:p>
    <w:p>
      <w:pPr>
        <w:pStyle w:val="BodyText"/>
      </w:pPr>
      <w:r>
        <w:rPr>
          <w:b/>
          <w:bCs/>
        </w:rPr>
        <w:t xml:space="preserve">4. 777X Progress.</w:t>
      </w:r>
      <w:r>
        <w:t xml:space="preserve"> </w:t>
      </w:r>
      <w:r>
        <w:t xml:space="preserve">The program remains on track for first delivery in 2027, having advanced through TIA 4a certification testing, but GE's engine durability/mid-seal fix and the multi-year "change incorporation" effort on ~30 already-built 777X aircraft remain execution risks worth monitoring.</w:t>
      </w:r>
    </w:p>
    <w:p>
      <w:pPr>
        <w:pStyle w:val="BodyText"/>
      </w:pPr>
      <w:r>
        <w:rPr>
          <w:b/>
          <w:bCs/>
        </w:rPr>
        <w:t xml:space="preserve">5. Defense (BDS) Margin Trajectory.</w:t>
      </w:r>
      <w:r>
        <w:t xml:space="preserve"> </w:t>
      </w:r>
      <w:r>
        <w:t xml:space="preserve">BDS posted a 3.1% operating margin in Q1 (its likely low point for the year), with management guiding toward roughly 3.5% for full-year 2026 and a longer-term march to high-single-digit margins. Elevated global defense spending, PAC-3 seeker expansion, KC-46 production increases, and rising op-tempo-driven services demand are tailwinds; execution and cost discipline on legacy fixed-price programs remain the swing factor.</w:t>
      </w:r>
    </w:p>
    <w:p>
      <w:pPr>
        <w:pStyle w:val="BodyText"/>
      </w:pPr>
      <w:r>
        <w:rPr>
          <w:b/>
          <w:bCs/>
        </w:rPr>
        <w:t xml:space="preserve">6. China Order Optionality.</w:t>
      </w:r>
      <w:r>
        <w:t xml:space="preserve"> </w:t>
      </w:r>
      <w:r>
        <w:t xml:space="preserve">A reported 100-jet order from China surfaced in July news flow tied to broader U.S.-China trade dynamics — any update on timing/size of Chinese 737 MAX orders would be an incremental positive for backlog, though management has cautioned this remains contingent on government-to-government relations.</w:t>
      </w:r>
    </w:p>
    <w:p>
      <w:pPr>
        <w:pStyle w:val="BodyText"/>
      </w:pPr>
      <w:r>
        <w:rPr>
          <w:b/>
          <w:bCs/>
        </w:rPr>
        <w:t xml:space="preserve">7. Order Momentum / Backlog.</w:t>
      </w:r>
      <w:r>
        <w:t xml:space="preserve"> </w:t>
      </w:r>
      <w:r>
        <w:t xml:space="preserve">Backlog already stands at a record ~$695 billion. Additional headline orders and campaign updates (Riyadh Air 787 option conversions, SMBC Aviation Capital, Philippine Airlines, AerCap, and others discussed around the Farnborough Airshow) should keep the order book growing.</w:t>
      </w:r>
    </w:p>
    <w:bookmarkEnd w:id="12"/>
    <w:bookmarkStart w:id="13" w:name="risks--watch-items"/>
    <w:p>
      <w:pPr>
        <w:pStyle w:val="Heading2"/>
      </w:pPr>
      <w:r>
        <w:t xml:space="preserve">Risks / Watch Items</w:t>
      </w:r>
    </w:p>
    <w:p>
      <w:pPr>
        <w:pStyle w:val="Compact"/>
        <w:numPr>
          <w:ilvl w:val="0"/>
          <w:numId w:val="1002"/>
        </w:numPr>
      </w:pPr>
      <w:r>
        <w:rPr>
          <w:b/>
          <w:bCs/>
        </w:rPr>
        <w:t xml:space="preserve">787 supply chain</w:t>
      </w:r>
      <w:r>
        <w:t xml:space="preserve">: GEnx engine delivery delays and premium-seat certification bottlenecks remain the key swing factor for widebody deliveries and could pressure the ramp to 10/month.</w:t>
      </w:r>
    </w:p>
    <w:p>
      <w:pPr>
        <w:pStyle w:val="Compact"/>
        <w:numPr>
          <w:ilvl w:val="0"/>
          <w:numId w:val="1002"/>
        </w:numPr>
      </w:pPr>
      <w:r>
        <w:rPr>
          <w:b/>
          <w:bCs/>
        </w:rPr>
        <w:t xml:space="preserve">Safety/quality headline risk</w:t>
      </w:r>
      <w:r>
        <w:t xml:space="preserve">: A July 10 Ryanair 737 incident (engine debris shattered a cabin window mid-flight over Greece, causing a brief decompression event) generated negative headlines, though it does not appear tied to a Boeing manufacturing defect; still worth monitoring for any read-through to sentiment or regulatory scrutiny.</w:t>
      </w:r>
    </w:p>
    <w:p>
      <w:pPr>
        <w:pStyle w:val="Compact"/>
        <w:numPr>
          <w:ilvl w:val="0"/>
          <w:numId w:val="1002"/>
        </w:numPr>
      </w:pPr>
      <w:r>
        <w:rPr>
          <w:b/>
          <w:bCs/>
        </w:rPr>
        <w:t xml:space="preserve">Legacy litigation overhang</w:t>
      </w:r>
      <w:r>
        <w:t xml:space="preserve">: A Chicago jury's $49.5 million award in May to a 737 MAX crash victim's family highlights that legal costs/settlements from the 2018-2019 MAX crashes are not fully behind the company, even after the DOJ non-prosecution agreement.</w:t>
      </w:r>
    </w:p>
    <w:p>
      <w:pPr>
        <w:pStyle w:val="Compact"/>
        <w:numPr>
          <w:ilvl w:val="0"/>
          <w:numId w:val="1002"/>
        </w:numPr>
      </w:pPr>
      <w:r>
        <w:rPr>
          <w:b/>
          <w:bCs/>
        </w:rPr>
        <w:t xml:space="preserve">Geopolitical/fuel-price effects</w:t>
      </w:r>
      <w:r>
        <w:t xml:space="preserve">: Middle East conflict-related fuel price increases could eventually weigh on commercial aftermarket/services demand, a dynamic management has said it will monitor closely, even as defense services demand offsets some of that risk.</w:t>
      </w:r>
    </w:p>
    <w:bookmarkEnd w:id="13"/>
    <w:bookmarkStart w:id="14" w:name="bottom-line"/>
    <w:p>
      <w:pPr>
        <w:pStyle w:val="Heading2"/>
      </w:pPr>
      <w:r>
        <w:t xml:space="preserve">Bottom Line</w:t>
      </w:r>
    </w:p>
    <w:p>
      <w:pPr>
        <w:pStyle w:val="FirstParagraph"/>
      </w:pPr>
      <w:r>
        <w:t xml:space="preserve">Investors should walk into this print expecting a</w:t>
      </w:r>
      <w:r>
        <w:t xml:space="preserve"> </w:t>
      </w:r>
      <w:r>
        <w:rPr>
          <w:b/>
          <w:bCs/>
        </w:rPr>
        <w:t xml:space="preserve">narrower core loss (~-$0.30) on revenue near $24+ billion</w:t>
      </w:r>
      <w:r>
        <w:t xml:space="preserve">, powered by a 14% delivery increase and record backlog. The bigger story than the headline EPS number will be</w:t>
      </w:r>
      <w:r>
        <w:t xml:space="preserve"> </w:t>
      </w:r>
      <w:r>
        <w:rPr>
          <w:b/>
          <w:bCs/>
        </w:rPr>
        <w:t xml:space="preserve">cash flow cadence</w:t>
      </w:r>
      <w:r>
        <w:t xml:space="preserve"> </w:t>
      </w:r>
      <w:r>
        <w:t xml:space="preserve">(confirmation of the 2H26 turn to positive FCF and the $1-3B full-year guide),</w:t>
      </w:r>
      <w:r>
        <w:t xml:space="preserve"> </w:t>
      </w:r>
      <w:r>
        <w:rPr>
          <w:b/>
          <w:bCs/>
        </w:rPr>
        <w:t xml:space="preserve">737 rate-ramp execution</w:t>
      </w:r>
      <w:r>
        <w:t xml:space="preserve"> </w:t>
      </w:r>
      <w:r>
        <w:t xml:space="preserve">toward 47 and eventually 52/month,</w:t>
      </w:r>
      <w:r>
        <w:t xml:space="preserve"> </w:t>
      </w:r>
      <w:r>
        <w:rPr>
          <w:b/>
          <w:bCs/>
        </w:rPr>
        <w:t xml:space="preserve">787 supply-chain normalization</w:t>
      </w:r>
      <w:r>
        <w:t xml:space="preserve">, and any incremental commentary on 777X certification timing and BDS margin progression. With the FAA self-certification authority restored and MAX 7/10 certification approaching, the operational narrative continues to support the "turnaround intact" thesis that has underpinned Wall Street's bullish consensus — but execution on cash generation remains the key proof point for the stock from here.</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2026-07-28T00:58:18Z</dcterms:created>
  <dcterms:modified xsi:type="dcterms:W3CDTF">2026-07-28T00:58:18Z</dcterms:modified>
</cp:coreProperties>
</file>

<file path=docProps/custom.xml><?xml version="1.0" encoding="utf-8"?>
<Properties xmlns="http://schemas.openxmlformats.org/officeDocument/2006/custom-properties" xmlns:vt="http://schemas.openxmlformats.org/officeDocument/2006/docPropsVTypes"/>
</file>