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boeing-ba-2026-q2-earnings-preview"/>
    <w:p>
      <w:pPr>
        <w:pStyle w:val="Heading1"/>
      </w:pPr>
      <w:r>
        <w:t xml:space="preserve">Boeing (BA) 2026 Q2 Earnings Preview</w:t>
      </w:r>
    </w:p>
    <w:p>
      <w:pPr>
        <w:pStyle w:val="BlockText"/>
      </w:pPr>
      <w:r>
        <w:rPr>
          <w:b/>
          <w:bCs/>
        </w:rPr>
        <w:t xml:space="preserve">Timing note:</w:t>
      </w:r>
      <w:r>
        <w:t xml:space="preserve"> </w:t>
      </w:r>
      <w:r>
        <w:t xml:space="preserve">Boeing’s official schedule has the Q2 results being released</w:t>
      </w:r>
      <w:r>
        <w:t xml:space="preserve"> </w:t>
      </w:r>
      <w:r>
        <w:rPr>
          <w:b/>
          <w:bCs/>
        </w:rPr>
        <w:t xml:space="preserve">today, Tuesday, July 28, 2026, before the U.S. market opens</w:t>
      </w:r>
      <w:r>
        <w:t xml:space="preserve">, followed by the earnings call at</w:t>
      </w:r>
      <w:r>
        <w:t xml:space="preserve"> </w:t>
      </w:r>
      <w:r>
        <w:rPr>
          <w:b/>
          <w:bCs/>
        </w:rPr>
        <w:t xml:space="preserve">10:30 a.m. ET</w:t>
      </w:r>
      <w:r>
        <w:t xml:space="preserve">—not tomorrow. (</w:t>
      </w:r>
      <w:hyperlink r:id="rId9">
        <w:r>
          <w:rPr>
            <w:rStyle w:val="Hyperlink"/>
          </w:rPr>
          <w:t xml:space="preserve">boeing.mediaroom.com</w:t>
        </w:r>
      </w:hyperlink>
      <w:r>
        <w:t xml:space="preserve">)</w:t>
      </w:r>
    </w:p>
    <w:bookmarkStart w:id="10" w:name="bottom-line"/>
    <w:p>
      <w:pPr>
        <w:pStyle w:val="Heading2"/>
      </w:pPr>
      <w:r>
        <w:t xml:space="preserve">Bottom line</w:t>
      </w:r>
    </w:p>
    <w:p>
      <w:pPr>
        <w:pStyle w:val="FirstParagraph"/>
      </w:pPr>
      <w:r>
        <w:t xml:space="preserve">The quarter itself should show substantial operational improvement: Boeing delivered</w:t>
      </w:r>
      <w:r>
        <w:t xml:space="preserve"> </w:t>
      </w:r>
      <w:r>
        <w:rPr>
          <w:b/>
          <w:bCs/>
        </w:rPr>
        <w:t xml:space="preserve">171 commercial aircraft</w:t>
      </w:r>
      <w:r>
        <w:t xml:space="preserve">, up from 143 in Q1, with particularly strong sequential growth in 787 deliveries. But the stock’s reaction will probably depend less on the reported EPS figure and more on four forward-looking questions:</w:t>
      </w:r>
    </w:p>
    <w:p>
      <w:pPr>
        <w:pStyle w:val="Compact"/>
        <w:numPr>
          <w:ilvl w:val="0"/>
          <w:numId w:val="1001"/>
        </w:numPr>
      </w:pPr>
      <w:r>
        <w:rPr>
          <w:b/>
          <w:bCs/>
        </w:rPr>
        <w:t xml:space="preserve">Has 737 production successfully reached or stabilized near 47 aircraft per month?</w:t>
      </w:r>
    </w:p>
    <w:p>
      <w:pPr>
        <w:pStyle w:val="Compact"/>
        <w:numPr>
          <w:ilvl w:val="0"/>
          <w:numId w:val="1001"/>
        </w:numPr>
      </w:pPr>
      <w:r>
        <w:rPr>
          <w:b/>
          <w:bCs/>
        </w:rPr>
        <w:t xml:space="preserve">Does management reaffirm $1–3 billion of 2026 free cash flow?</w:t>
      </w:r>
    </w:p>
    <w:p>
      <w:pPr>
        <w:pStyle w:val="Compact"/>
        <w:numPr>
          <w:ilvl w:val="0"/>
          <w:numId w:val="1001"/>
        </w:numPr>
      </w:pPr>
      <w:r>
        <w:rPr>
          <w:b/>
          <w:bCs/>
        </w:rPr>
        <w:t xml:space="preserve">Are the 787 supply chain and seat-certification constraints clearing?</w:t>
      </w:r>
    </w:p>
    <w:p>
      <w:pPr>
        <w:pStyle w:val="Compact"/>
        <w:numPr>
          <w:ilvl w:val="0"/>
          <w:numId w:val="1001"/>
        </w:numPr>
      </w:pPr>
      <w:r>
        <w:rPr>
          <w:b/>
          <w:bCs/>
        </w:rPr>
        <w:t xml:space="preserve">Can Boeing avoid new charges or schedule slips on 777X and its defense development programs?</w:t>
      </w:r>
    </w:p>
    <w:p>
      <w:pPr>
        <w:pStyle w:val="FirstParagraph"/>
      </w:pPr>
      <w:r>
        <w:t xml:space="preserve">A clean quarter with reaffirmed cash guidance should support the turnaround thesis. Conversely, another production disruption, material program charge, or weaker cash outlook would raise doubts about how quickly higher deliveries can translate into durable earnings and deleveraging.</w:t>
      </w:r>
    </w:p>
    <w:bookmarkEnd w:id="10"/>
    <w:bookmarkStart w:id="13" w:name="expectations-and-reference-points"/>
    <w:p>
      <w:pPr>
        <w:pStyle w:val="Heading2"/>
      </w:pPr>
      <w:r>
        <w:t xml:space="preserve">Expectations and reference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setup</w:t>
            </w:r>
          </w:p>
        </w:tc>
      </w:tr>
      <w:tr>
        <w:tc>
          <w:tcPr/>
          <w:p>
            <w:pPr>
              <w:pStyle w:val="Compact"/>
            </w:pPr>
            <w:r>
              <w:t xml:space="preserve">Street revenue estimate</w:t>
            </w:r>
          </w:p>
        </w:tc>
        <w:tc>
          <w:tcPr/>
          <w:p>
            <w:pPr>
              <w:pStyle w:val="Compact"/>
              <w:jc w:val="right"/>
            </w:pPr>
            <w:r>
              <w:t xml:space="preserve">Approximately</w:t>
            </w:r>
            <w:r>
              <w:t xml:space="preserve"> </w:t>
            </w:r>
            <w:r>
              <w:rPr>
                <w:b/>
                <w:bCs/>
              </w:rPr>
              <w:t xml:space="preserve">$24.3 billion</w:t>
            </w:r>
          </w:p>
        </w:tc>
      </w:tr>
      <w:tr>
        <w:tc>
          <w:tcPr/>
          <w:p>
            <w:pPr>
              <w:pStyle w:val="Compact"/>
            </w:pPr>
            <w:r>
              <w:t xml:space="preserve">Street core EPS estimate</w:t>
            </w:r>
          </w:p>
        </w:tc>
        <w:tc>
          <w:tcPr/>
          <w:p>
            <w:pPr>
              <w:pStyle w:val="Compact"/>
              <w:jc w:val="right"/>
            </w:pPr>
            <w:r>
              <w:t xml:space="preserve">Approximately</w:t>
            </w:r>
            <w:r>
              <w:t xml:space="preserve"> </w:t>
            </w:r>
            <w:r>
              <w:rPr>
                <w:b/>
                <w:bCs/>
              </w:rPr>
              <w:t xml:space="preserve">(</w:t>
            </w:r>
            <m:oMath>
              <m:r>
                <m:t>0.30</m:t>
              </m:r>
              <m:r>
                <m:rPr>
                  <m:sty m:val="p"/>
                </m:rPr>
                <m:t>)</m:t>
              </m:r>
              <m:r>
                <m:rPr>
                  <m:sty m:val="p"/>
                </m:rPr>
                <m:t>*</m:t>
              </m:r>
              <m:r>
                <m:rPr>
                  <m:sty m:val="p"/>
                </m:rPr>
                <m:t>*</m:t>
              </m:r>
              <m:r>
                <m:rPr>
                  <m:sty m:val="p"/>
                </m:rPr>
                <m:t>;</m:t>
              </m:r>
              <m:r>
                <m:t>p</m:t>
              </m:r>
              <m:r>
                <m:t>u</m:t>
              </m:r>
              <m:r>
                <m:t>b</m:t>
              </m:r>
              <m:r>
                <m:t>l</m:t>
              </m:r>
              <m:r>
                <m:t>i</m:t>
              </m:r>
              <m:r>
                <m:t>s</m:t>
              </m:r>
              <m:r>
                <m:t>h</m:t>
              </m:r>
              <m:r>
                <m:t>e</m:t>
              </m:r>
              <m:r>
                <m:t>d</m:t>
              </m:r>
              <m:r>
                <m:t>e</m:t>
              </m:r>
              <m:r>
                <m:t>s</m:t>
              </m:r>
              <m:r>
                <m:t>t</m:t>
              </m:r>
              <m:r>
                <m:t>i</m:t>
              </m:r>
              <m:r>
                <m:t>m</m:t>
              </m:r>
              <m:r>
                <m:t>a</m:t>
              </m:r>
              <m:r>
                <m:t>t</m:t>
              </m:r>
              <m:r>
                <m:t>e</m:t>
              </m:r>
              <m:r>
                <m:t>s</m:t>
              </m:r>
              <m:r>
                <m:t>r</m:t>
              </m:r>
              <m:r>
                <m:t>a</m:t>
              </m:r>
              <m:r>
                <m:t>n</m:t>
              </m:r>
              <m:r>
                <m:t>g</m:t>
              </m:r>
              <m:r>
                <m:t>e</m:t>
              </m:r>
              <m:r>
                <m:t>f</m:t>
              </m:r>
              <m:r>
                <m:t>r</m:t>
              </m:r>
              <m:r>
                <m:t>o</m:t>
              </m:r>
              <m:r>
                <m:t>m</m:t>
              </m:r>
              <m:r>
                <m:t>r</m:t>
              </m:r>
              <m:r>
                <m:t>o</m:t>
              </m:r>
              <m:r>
                <m:t>u</m:t>
              </m:r>
              <m:r>
                <m:t>g</m:t>
              </m:r>
              <m:r>
                <m:t>h</m:t>
              </m:r>
              <m:r>
                <m:t>l</m:t>
              </m:r>
              <m:r>
                <m:t>y</m:t>
              </m:r>
              <m:r>
                <m:rPr>
                  <m:sty m:val="p"/>
                </m:rPr>
                <m:t>*</m:t>
              </m:r>
              <m:r>
                <m:rPr>
                  <m:sty m:val="p"/>
                </m:rPr>
                <m:t>*</m:t>
              </m:r>
              <m:r>
                <m:rPr>
                  <m:sty m:val="p"/>
                </m:rPr>
                <m:t>(</m:t>
              </m:r>
            </m:oMath>
            <w:r>
              <w:rPr>
                <w:b/>
                <w:bCs/>
              </w:rPr>
              <w:t xml:space="preserve">0.28) to ($0.34)</w:t>
            </w:r>
          </w:p>
        </w:tc>
      </w:tr>
      <w:tr>
        <w:tc>
          <w:tcPr/>
          <w:p>
            <w:pPr>
              <w:pStyle w:val="Compact"/>
            </w:pPr>
            <w:r>
              <w:t xml:space="preserve">Q1 2026 revenue</w:t>
            </w:r>
          </w:p>
        </w:tc>
        <w:tc>
          <w:tcPr/>
          <w:p>
            <w:pPr>
              <w:pStyle w:val="Compact"/>
              <w:jc w:val="right"/>
            </w:pPr>
            <w:r>
              <w:t xml:space="preserve">$22.2 billion</w:t>
            </w:r>
          </w:p>
        </w:tc>
      </w:tr>
      <w:tr>
        <w:tc>
          <w:tcPr/>
          <w:p>
            <w:pPr>
              <w:pStyle w:val="Compact"/>
            </w:pPr>
            <w:r>
              <w:t xml:space="preserve">Q1 2026 core EPS</w:t>
            </w:r>
          </w:p>
        </w:tc>
        <w:tc>
          <w:tcPr/>
          <w:p>
            <w:pPr>
              <w:pStyle w:val="Compact"/>
              <w:jc w:val="right"/>
            </w:pPr>
            <w:r>
              <w:t xml:space="preserve">($0.20)</w:t>
            </w:r>
          </w:p>
        </w:tc>
      </w:tr>
      <w:tr>
        <w:tc>
          <w:tcPr/>
          <w:p>
            <w:pPr>
              <w:pStyle w:val="Compact"/>
            </w:pPr>
            <w:r>
              <w:t xml:space="preserve">Q1 2026 free cash flow</w:t>
            </w:r>
          </w:p>
        </w:tc>
        <w:tc>
          <w:tcPr/>
          <w:p>
            <w:pPr>
              <w:pStyle w:val="Compact"/>
              <w:jc w:val="right"/>
            </w:pPr>
            <w:r>
              <w:t xml:space="preserve">($1.45 billion)</w:t>
            </w:r>
          </w:p>
        </w:tc>
      </w:tr>
      <w:tr>
        <w:tc>
          <w:tcPr/>
          <w:p>
            <w:pPr>
              <w:pStyle w:val="Compact"/>
            </w:pPr>
            <w:r>
              <w:t xml:space="preserve">Q2 commercial deliveries</w:t>
            </w:r>
          </w:p>
        </w:tc>
        <w:tc>
          <w:tcPr/>
          <w:p>
            <w:pPr>
              <w:pStyle w:val="Compact"/>
              <w:jc w:val="right"/>
            </w:pPr>
            <w:r>
              <w:t xml:space="preserve">171</w:t>
            </w:r>
          </w:p>
        </w:tc>
      </w:tr>
      <w:tr>
        <w:tc>
          <w:tcPr/>
          <w:p>
            <w:pPr>
              <w:pStyle w:val="Compact"/>
            </w:pPr>
            <w:r>
              <w:t xml:space="preserve">Q1 commercial deliveries</w:t>
            </w:r>
          </w:p>
        </w:tc>
        <w:tc>
          <w:tcPr/>
          <w:p>
            <w:pPr>
              <w:pStyle w:val="Compact"/>
              <w:jc w:val="right"/>
            </w:pPr>
            <w:r>
              <w:t xml:space="preserve">143</w:t>
            </w:r>
          </w:p>
        </w:tc>
      </w:tr>
      <w:tr>
        <w:tc>
          <w:tcPr/>
          <w:p>
            <w:pPr>
              <w:pStyle w:val="Compact"/>
            </w:pPr>
            <w:r>
              <w:t xml:space="preserve">Management’s 2026 FCF guidance</w:t>
            </w:r>
          </w:p>
        </w:tc>
        <w:tc>
          <w:tcPr/>
          <w:p>
            <w:pPr>
              <w:pStyle w:val="Compact"/>
              <w:jc w:val="right"/>
            </w:pPr>
            <w:r>
              <w:t xml:space="preserve">$1–3 billion</w:t>
            </w:r>
          </w:p>
        </w:tc>
      </w:tr>
    </w:tbl>
    <w:p>
      <w:pPr>
        <w:pStyle w:val="BodyText"/>
      </w:pPr>
      <w:r>
        <w:t xml:space="preserve">Consensus services point to revenue of about $24.3 billion and a core loss around $0.30 per share, although the exact consensus varies by provider. (</w:t>
      </w:r>
      <w:hyperlink r:id="rId11">
        <w:r>
          <w:rPr>
            <w:rStyle w:val="Hyperlink"/>
          </w:rPr>
          <w:t xml:space="preserve">marketbeat.com</w:t>
        </w:r>
      </w:hyperlink>
      <w:r>
        <w:t xml:space="preserve">) Boeing entered the quarter after reporting Q1 revenue of $22.2 billion, a $0.20 core loss per share and $1.45 billion of free-cash-flow usage. (</w:t>
      </w:r>
      <w:hyperlink r:id="rId12">
        <w:r>
          <w:rPr>
            <w:rStyle w:val="Hyperlink"/>
          </w:rPr>
          <w:t xml:space="preserve">investors.boeing.com</w:t>
        </w:r>
      </w:hyperlink>
      <w:r>
        <w:t xml:space="preserve">)</w:t>
      </w:r>
    </w:p>
    <w:bookmarkEnd w:id="13"/>
    <w:bookmarkStart w:id="18" w:name="Xdbb6c94d183a86f9d83cfbcbdfb0f64c816aae7"/>
    <w:p>
      <w:pPr>
        <w:pStyle w:val="Heading2"/>
      </w:pPr>
      <w:r>
        <w:t xml:space="preserve">1. Commercial deliveries provide a favorable starting point</w:t>
      </w:r>
    </w:p>
    <w:p>
      <w:pPr>
        <w:pStyle w:val="FirstParagraph"/>
      </w:pPr>
      <w:r>
        <w:t xml:space="preserve">Boeing delivered</w:t>
      </w:r>
      <w:r>
        <w:t xml:space="preserve"> </w:t>
      </w:r>
      <w:r>
        <w:rPr>
          <w:b/>
          <w:bCs/>
        </w:rPr>
        <w:t xml:space="preserve">171 commercial airplanes in Q2</w:t>
      </w:r>
      <w:r>
        <w:t xml:space="preserve">, including:</w:t>
      </w:r>
    </w:p>
    <w:p>
      <w:pPr>
        <w:pStyle w:val="Compact"/>
        <w:numPr>
          <w:ilvl w:val="0"/>
          <w:numId w:val="1002"/>
        </w:numPr>
      </w:pPr>
      <w:r>
        <w:rPr>
          <w:b/>
          <w:bCs/>
        </w:rPr>
        <w:t xml:space="preserve">129 737s</w:t>
      </w:r>
    </w:p>
    <w:p>
      <w:pPr>
        <w:pStyle w:val="Compact"/>
        <w:numPr>
          <w:ilvl w:val="0"/>
          <w:numId w:val="1002"/>
        </w:numPr>
      </w:pPr>
      <w:r>
        <w:rPr>
          <w:b/>
          <w:bCs/>
        </w:rPr>
        <w:t xml:space="preserve">10 767s</w:t>
      </w:r>
    </w:p>
    <w:p>
      <w:pPr>
        <w:pStyle w:val="Compact"/>
        <w:numPr>
          <w:ilvl w:val="0"/>
          <w:numId w:val="1002"/>
        </w:numPr>
      </w:pPr>
      <w:r>
        <w:rPr>
          <w:b/>
          <w:bCs/>
        </w:rPr>
        <w:t xml:space="preserve">7 777s</w:t>
      </w:r>
    </w:p>
    <w:p>
      <w:pPr>
        <w:pStyle w:val="Compact"/>
        <w:numPr>
          <w:ilvl w:val="0"/>
          <w:numId w:val="1002"/>
        </w:numPr>
      </w:pPr>
      <w:r>
        <w:rPr>
          <w:b/>
          <w:bCs/>
        </w:rPr>
        <w:t xml:space="preserve">25 787s</w:t>
      </w:r>
    </w:p>
    <w:p>
      <w:pPr>
        <w:pStyle w:val="FirstParagraph"/>
      </w:pPr>
      <w:r>
        <w:t xml:space="preserve">That represents a roughly</w:t>
      </w:r>
      <w:r>
        <w:t xml:space="preserve"> </w:t>
      </w:r>
      <w:r>
        <w:rPr>
          <w:b/>
          <w:bCs/>
        </w:rPr>
        <w:t xml:space="preserve">20% sequential increase</w:t>
      </w:r>
      <w:r>
        <w:t xml:space="preserve"> </w:t>
      </w:r>
      <w:r>
        <w:t xml:space="preserve">in total deliveries from Q1. The 787 improvement was especially notable, rising from 15 deliveries in Q1 to 25 in Q2. (</w:t>
      </w:r>
      <w:hyperlink r:id="rId14">
        <w:r>
          <w:rPr>
            <w:rStyle w:val="Hyperlink"/>
          </w:rPr>
          <w:t xml:space="preserve">boeing.mediaroom.com</w:t>
        </w:r>
      </w:hyperlink>
      <w:r>
        <w:t xml:space="preserve">)</w:t>
      </w:r>
    </w:p>
    <w:p>
      <w:pPr>
        <w:pStyle w:val="BodyText"/>
      </w:pPr>
      <w:r>
        <w:t xml:space="preserve">The delivery profile should support sequential revenue growth and some improvement in Boeing Commercial Airplanes’ operating performance. However, investors should avoid assuming a one-for-one conversion from deliveries to profit. Customer mix, concession payments, abnormal production costs, Spirit AeroSystems integration expenses and program-accounting adjustments can all materially affect margins.</w:t>
      </w:r>
    </w:p>
    <w:bookmarkStart w:id="17" w:name="X239cd25cc203bee1e93cb4a0f8450baf7d5a17d"/>
    <w:p>
      <w:pPr>
        <w:pStyle w:val="Heading3"/>
      </w:pPr>
      <w:r>
        <w:t xml:space="preserve">The 737 delivery target looks achievable—but production quality matters more</w:t>
      </w:r>
    </w:p>
    <w:p>
      <w:pPr>
        <w:pStyle w:val="FirstParagraph"/>
      </w:pPr>
      <w:r>
        <w:t xml:space="preserve">Boeing has delivered</w:t>
      </w:r>
      <w:r>
        <w:t xml:space="preserve"> </w:t>
      </w:r>
      <w:r>
        <w:rPr>
          <w:b/>
          <w:bCs/>
        </w:rPr>
        <w:t xml:space="preserve">243 737s through the first half</w:t>
      </w:r>
      <w:r>
        <w:t xml:space="preserve">, against management’s target of approximately 500 for the full year. It therefore needs another 257 in the second half, or about 129 per quarter—essentially the Q2 pace. (</w:t>
      </w:r>
      <w:hyperlink r:id="rId15">
        <w:r>
          <w:rPr>
            <w:rStyle w:val="Hyperlink"/>
          </w:rPr>
          <w:t xml:space="preserve">investors.boeing.com</w:t>
        </w:r>
      </w:hyperlink>
      <w:r>
        <w:t xml:space="preserve">)</w:t>
      </w:r>
    </w:p>
    <w:p>
      <w:pPr>
        <w:pStyle w:val="BodyText"/>
      </w:pPr>
      <w:r>
        <w:t xml:space="preserve">The more important disclosure will be the underlying production rate. Boeing entered Q2 producing 42 per month and planned to move to 47 during the summer. The new Everett North Line has now opened and is intended to support an eventual increase to 52 and beyond. (</w:t>
      </w:r>
      <w:hyperlink r:id="rId16">
        <w:r>
          <w:rPr>
            <w:rStyle w:val="Hyperlink"/>
          </w:rPr>
          <w:t xml:space="preserve">boeing.com</w:t>
        </w:r>
      </w:hyperlink>
      <w:r>
        <w:t xml:space="preserve">)</w:t>
      </w:r>
    </w:p>
    <w:p>
      <w:pPr>
        <w:pStyle w:val="BodyText"/>
      </w:pPr>
      <w:r>
        <w:rPr>
          <w:b/>
          <w:bCs/>
        </w:rPr>
        <w:t xml:space="preserve">What investors should listen for:</w:t>
      </w:r>
    </w:p>
    <w:p>
      <w:pPr>
        <w:pStyle w:val="Compact"/>
        <w:numPr>
          <w:ilvl w:val="0"/>
          <w:numId w:val="1003"/>
        </w:numPr>
      </w:pPr>
      <w:r>
        <w:t xml:space="preserve">Is Renton actually operating at 47 per month, or merely transitioning toward it?</w:t>
      </w:r>
    </w:p>
    <w:p>
      <w:pPr>
        <w:pStyle w:val="Compact"/>
        <w:numPr>
          <w:ilvl w:val="0"/>
          <w:numId w:val="1003"/>
        </w:numPr>
      </w:pPr>
      <w:r>
        <w:t xml:space="preserve">Are traveled work, rework hours and supplier shortages still improving?</w:t>
      </w:r>
    </w:p>
    <w:p>
      <w:pPr>
        <w:pStyle w:val="Compact"/>
        <w:numPr>
          <w:ilvl w:val="0"/>
          <w:numId w:val="1003"/>
        </w:numPr>
      </w:pPr>
      <w:r>
        <w:t xml:space="preserve">When will the North Line complete its regulatory and low-rate production requirements?</w:t>
      </w:r>
    </w:p>
    <w:p>
      <w:pPr>
        <w:pStyle w:val="Compact"/>
        <w:numPr>
          <w:ilvl w:val="0"/>
          <w:numId w:val="1003"/>
        </w:numPr>
      </w:pPr>
      <w:r>
        <w:t xml:space="preserve">Can Spirit’s fuselage operations support 47 and eventually 52 without destabilizing quality?</w:t>
      </w:r>
    </w:p>
    <w:bookmarkEnd w:id="17"/>
    <w:bookmarkEnd w:id="18"/>
    <w:bookmarkStart w:id="20" w:name="Xff2f309a42cfb34b8b05a440faa4be851a07229"/>
    <w:p>
      <w:pPr>
        <w:pStyle w:val="Heading2"/>
      </w:pPr>
      <w:r>
        <w:t xml:space="preserve">2. Free cash flow is the most important number</w:t>
      </w:r>
    </w:p>
    <w:p>
      <w:pPr>
        <w:pStyle w:val="FirstParagraph"/>
      </w:pPr>
      <w:r>
        <w:t xml:space="preserve">At the Q1 call, Boeing projected a</w:t>
      </w:r>
      <w:r>
        <w:t xml:space="preserve"> </w:t>
      </w:r>
      <w:r>
        <w:rPr>
          <w:b/>
          <w:bCs/>
        </w:rPr>
        <w:t xml:space="preserve">Q2 free-cash-flow outflow in the low hundreds of millions of dollars</w:t>
      </w:r>
      <w:r>
        <w:t xml:space="preserve"> </w:t>
      </w:r>
      <w:r>
        <w:t xml:space="preserve">and maintained its</w:t>
      </w:r>
      <w:r>
        <w:t xml:space="preserve"> </w:t>
      </w:r>
      <w:r>
        <w:rPr>
          <w:b/>
          <w:bCs/>
        </w:rPr>
        <w:t xml:space="preserve">$1–3 billion positive FCF target for 2026</w:t>
      </w:r>
      <w:r>
        <w:t xml:space="preserve">. (</w:t>
      </w:r>
      <w:hyperlink r:id="rId19">
        <w:r>
          <w:rPr>
            <w:rStyle w:val="Hyperlink"/>
          </w:rPr>
          <w:t xml:space="preserve">s2.q4cdn.com</w:t>
        </w:r>
      </w:hyperlink>
      <w:r>
        <w:t xml:space="preserve">)</w:t>
      </w:r>
    </w:p>
    <w:p>
      <w:pPr>
        <w:pStyle w:val="BodyText"/>
      </w:pPr>
      <w:r>
        <w:t xml:space="preserve">That makes a Q2 outflow of approximately $200–400 million a reasonable baseline. A materially better result would be encouraging, but working-capital timing can create substantial quarterly noise.</w:t>
      </w:r>
    </w:p>
    <w:p>
      <w:pPr>
        <w:pStyle w:val="BodyText"/>
      </w:pPr>
      <w:r>
        <w:t xml:space="preserve">The full-year guide is more consequential. If Q2 FCF is around negative</w:t>
      </w:r>
      <w:r>
        <w:t xml:space="preserve"> </w:t>
      </w:r>
      <m:oMath>
        <m:r>
          <m:t>300</m:t>
        </m:r>
        <m:r>
          <m:t>m</m:t>
        </m:r>
        <m:r>
          <m:t>i</m:t>
        </m:r>
        <m:r>
          <m:t>l</m:t>
        </m:r>
        <m:r>
          <m:t>l</m:t>
        </m:r>
        <m:r>
          <m:t>i</m:t>
        </m:r>
        <m:r>
          <m:t>o</m:t>
        </m:r>
        <m:r>
          <m:t>n</m:t>
        </m:r>
        <m:r>
          <m:rPr>
            <m:sty m:val="p"/>
          </m:rPr>
          <m:t>,</m:t>
        </m:r>
        <m:r>
          <m:t>B</m:t>
        </m:r>
        <m:r>
          <m:t>o</m:t>
        </m:r>
        <m:r>
          <m:t>e</m:t>
        </m:r>
        <m:r>
          <m:t>i</m:t>
        </m:r>
        <m:r>
          <m:t>n</m:t>
        </m:r>
        <m:r>
          <m:t>g</m:t>
        </m:r>
        <m:r>
          <m:t>w</m:t>
        </m:r>
        <m:r>
          <m:t>o</m:t>
        </m:r>
        <m:r>
          <m:t>u</m:t>
        </m:r>
        <m:r>
          <m:t>l</m:t>
        </m:r>
        <m:r>
          <m:t>d</m:t>
        </m:r>
        <m:r>
          <m:t>e</m:t>
        </m:r>
        <m:r>
          <m:t>n</m:t>
        </m:r>
        <m:r>
          <m:t>t</m:t>
        </m:r>
        <m:r>
          <m:t>e</m:t>
        </m:r>
        <m:r>
          <m:t>r</m:t>
        </m:r>
        <m:r>
          <m:t>t</m:t>
        </m:r>
        <m:r>
          <m:t>h</m:t>
        </m:r>
        <m:r>
          <m:t>e</m:t>
        </m:r>
        <m:r>
          <m:t>s</m:t>
        </m:r>
        <m:r>
          <m:t>e</m:t>
        </m:r>
        <m:r>
          <m:t>c</m:t>
        </m:r>
        <m:r>
          <m:t>o</m:t>
        </m:r>
        <m:r>
          <m:t>n</m:t>
        </m:r>
        <m:r>
          <m:t>d</m:t>
        </m:r>
        <m:r>
          <m:t>h</m:t>
        </m:r>
        <m:r>
          <m:t>a</m:t>
        </m:r>
        <m:r>
          <m:t>l</m:t>
        </m:r>
        <m:r>
          <m:t>f</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t xml:space="preserve">1.75 billion of year-to-date cash usage**. It would then need roughly</w:t>
      </w:r>
      <w:r>
        <w:t xml:space="preserve"> </w:t>
      </w:r>
      <w:r>
        <w:rPr>
          <w:b/>
          <w:bCs/>
        </w:rPr>
        <w:t xml:space="preserve">$2.75–4.75 billion of second-half FCF</w:t>
      </w:r>
      <w:r>
        <w:t xml:space="preserve"> </w:t>
      </w:r>
      <w:r>
        <w:t xml:space="preserve">to reach the existing annual target.</w:t>
      </w:r>
    </w:p>
    <w:p>
      <w:pPr>
        <w:pStyle w:val="BodyText"/>
      </w:pPr>
      <w:r>
        <w:t xml:space="preserve">That is plausible given higher planned deliveries and defense advance payments, but it leaves little room for:</w:t>
      </w:r>
    </w:p>
    <w:p>
      <w:pPr>
        <w:pStyle w:val="Compact"/>
        <w:numPr>
          <w:ilvl w:val="0"/>
          <w:numId w:val="1004"/>
        </w:numPr>
      </w:pPr>
      <w:r>
        <w:t xml:space="preserve">Delivery disruptions</w:t>
      </w:r>
    </w:p>
    <w:p>
      <w:pPr>
        <w:pStyle w:val="Compact"/>
        <w:numPr>
          <w:ilvl w:val="0"/>
          <w:numId w:val="1004"/>
        </w:numPr>
      </w:pPr>
      <w:r>
        <w:t xml:space="preserve">Customer compensation</w:t>
      </w:r>
    </w:p>
    <w:p>
      <w:pPr>
        <w:pStyle w:val="Compact"/>
        <w:numPr>
          <w:ilvl w:val="0"/>
          <w:numId w:val="1004"/>
        </w:numPr>
      </w:pPr>
      <w:r>
        <w:t xml:space="preserve">Higher inventory</w:t>
      </w:r>
    </w:p>
    <w:p>
      <w:pPr>
        <w:pStyle w:val="Compact"/>
        <w:numPr>
          <w:ilvl w:val="0"/>
          <w:numId w:val="1004"/>
        </w:numPr>
      </w:pPr>
      <w:r>
        <w:t xml:space="preserve">Program charges</w:t>
      </w:r>
    </w:p>
    <w:p>
      <w:pPr>
        <w:pStyle w:val="Compact"/>
        <w:numPr>
          <w:ilvl w:val="0"/>
          <w:numId w:val="1004"/>
        </w:numPr>
      </w:pPr>
      <w:r>
        <w:t xml:space="preserve">Supplier support</w:t>
      </w:r>
    </w:p>
    <w:p>
      <w:pPr>
        <w:pStyle w:val="Compact"/>
        <w:numPr>
          <w:ilvl w:val="0"/>
          <w:numId w:val="1004"/>
        </w:numPr>
      </w:pPr>
      <w:r>
        <w:t xml:space="preserve">Certification delays</w:t>
      </w:r>
    </w:p>
    <w:p>
      <w:pPr>
        <w:pStyle w:val="Compact"/>
        <w:numPr>
          <w:ilvl w:val="0"/>
          <w:numId w:val="1004"/>
        </w:numPr>
      </w:pPr>
      <w:r>
        <w:t xml:space="preserve">Worse-than-expected Spirit cash usage</w:t>
      </w:r>
    </w:p>
    <w:p>
      <w:pPr>
        <w:pStyle w:val="FirstParagraph"/>
      </w:pPr>
      <w:r>
        <w:rPr>
          <w:b/>
          <w:bCs/>
        </w:rPr>
        <w:t xml:space="preserve">Best outcome:</w:t>
      </w:r>
      <w:r>
        <w:t xml:space="preserve"> </w:t>
      </w:r>
      <w:r>
        <w:t xml:space="preserve">Q2 FCF around breakeven or better, accompanied by an unambiguous reaffirmation of $1–3 billion.</w:t>
      </w:r>
    </w:p>
    <w:p>
      <w:pPr>
        <w:pStyle w:val="BodyText"/>
      </w:pPr>
      <w:r>
        <w:rPr>
          <w:b/>
          <w:bCs/>
        </w:rPr>
        <w:t xml:space="preserve">Acceptable outcome:</w:t>
      </w:r>
      <w:r>
        <w:t xml:space="preserve"> </w:t>
      </w:r>
      <w:r>
        <w:t xml:space="preserve">Low-hundreds outflow with management detailing credible second-half cash drivers.</w:t>
      </w:r>
    </w:p>
    <w:p>
      <w:pPr>
        <w:pStyle w:val="BodyText"/>
      </w:pPr>
      <w:r>
        <w:rPr>
          <w:b/>
          <w:bCs/>
        </w:rPr>
        <w:t xml:space="preserve">Red flag:</w:t>
      </w:r>
      <w:r>
        <w:t xml:space="preserve"> </w:t>
      </w:r>
      <w:r>
        <w:t xml:space="preserve">An outflow above approximately $500 million, vague guidance language, or a reduction in the full-year range.</w:t>
      </w:r>
    </w:p>
    <w:bookmarkEnd w:id="20"/>
    <w:bookmarkStart w:id="21" w:name="Xe45d4af80caa285182989eb64c6a4eace1ac279"/>
    <w:p>
      <w:pPr>
        <w:pStyle w:val="Heading2"/>
      </w:pPr>
      <w:r>
        <w:t xml:space="preserve">3. Commercial margins need to follow delivery growth</w:t>
      </w:r>
    </w:p>
    <w:p>
      <w:pPr>
        <w:pStyle w:val="FirstParagraph"/>
      </w:pPr>
      <w:r>
        <w:t xml:space="preserve">Boeing Commercial Airplanes reported a</w:t>
      </w:r>
      <w:r>
        <w:t xml:space="preserve"> </w:t>
      </w:r>
      <w:r>
        <w:rPr>
          <w:b/>
          <w:bCs/>
        </w:rPr>
        <w:t xml:space="preserve">negative 6.1% operating margin in Q1</w:t>
      </w:r>
      <w:r>
        <w:t xml:space="preserve">. Management expected sequential improvement during 2026 and previously indicated that BCA margins could turn positive around mid-2027. (</w:t>
      </w:r>
      <w:hyperlink r:id="rId12">
        <w:r>
          <w:rPr>
            <w:rStyle w:val="Hyperlink"/>
          </w:rPr>
          <w:t xml:space="preserve">investors.boeing.com</w:t>
        </w:r>
      </w:hyperlink>
      <w:r>
        <w:t xml:space="preserve">)</w:t>
      </w:r>
    </w:p>
    <w:p>
      <w:pPr>
        <w:pStyle w:val="BodyText"/>
      </w:pPr>
      <w:r>
        <w:t xml:space="preserve">With 171 deliveries, Q2 should show improvement, but the quality of that improvement matters:</w:t>
      </w:r>
    </w:p>
    <w:p>
      <w:pPr>
        <w:pStyle w:val="Compact"/>
        <w:numPr>
          <w:ilvl w:val="0"/>
          <w:numId w:val="1005"/>
        </w:numPr>
      </w:pPr>
      <w:r>
        <w:t xml:space="preserve">A margin approaching</w:t>
      </w:r>
      <w:r>
        <w:t xml:space="preserve"> </w:t>
      </w:r>
      <w:r>
        <w:rPr>
          <w:b/>
          <w:bCs/>
        </w:rPr>
        <w:t xml:space="preserve">negative 4% or better</w:t>
      </w:r>
      <w:r>
        <w:t xml:space="preserve"> </w:t>
      </w:r>
      <w:r>
        <w:t xml:space="preserve">would suggest volume and productivity are beginning to offset abnormal costs.</w:t>
      </w:r>
    </w:p>
    <w:p>
      <w:pPr>
        <w:pStyle w:val="Compact"/>
        <w:numPr>
          <w:ilvl w:val="0"/>
          <w:numId w:val="1005"/>
        </w:numPr>
      </w:pPr>
      <w:r>
        <w:t xml:space="preserve">Little improvement despite 20% sequential delivery growth would imply that Spirit dilution, concessions, rework or development spending remains elevated.</w:t>
      </w:r>
    </w:p>
    <w:p>
      <w:pPr>
        <w:pStyle w:val="Compact"/>
        <w:numPr>
          <w:ilvl w:val="0"/>
          <w:numId w:val="1005"/>
        </w:numPr>
      </w:pPr>
      <w:r>
        <w:t xml:space="preserve">A worse margin could indicate an accounting charge or deterioration in program economics.</w:t>
      </w:r>
    </w:p>
    <w:p>
      <w:pPr>
        <w:pStyle w:val="FirstParagraph"/>
      </w:pPr>
      <w:r>
        <w:t xml:space="preserve">Investors should also distinguish between</w:t>
      </w:r>
      <w:r>
        <w:t xml:space="preserve"> </w:t>
      </w:r>
      <w:r>
        <w:rPr>
          <w:b/>
          <w:bCs/>
        </w:rPr>
        <w:t xml:space="preserve">reported margin improvement</w:t>
      </w:r>
      <w:r>
        <w:t xml:space="preserve"> </w:t>
      </w:r>
      <w:r>
        <w:t xml:space="preserve">and improvement caused by one-time accounting adjustments. Boeing’s Q1 BCA result benefited from a favorable adjustment, so management’s normalized commentary will be important.</w:t>
      </w:r>
    </w:p>
    <w:bookmarkEnd w:id="21"/>
    <w:bookmarkStart w:id="22" w:name="X6fc398d8072d4d821d8cba040c3dcbe3417b7aa"/>
    <w:p>
      <w:pPr>
        <w:pStyle w:val="Heading2"/>
      </w:pPr>
      <w:r>
        <w:t xml:space="preserve">4. The 787 is both an opportunity and a constraint</w:t>
      </w:r>
    </w:p>
    <w:p>
      <w:pPr>
        <w:pStyle w:val="FirstParagraph"/>
      </w:pPr>
      <w:r>
        <w:t xml:space="preserve">Boeing produced approximately eight 787s per month entering the quarter and plans to move to 10 later this year. Q2’s 25 deliveries were a meaningful improvement, but the first-half total of 40 means Boeing still needs</w:t>
      </w:r>
      <w:r>
        <w:t xml:space="preserve"> </w:t>
      </w:r>
      <w:r>
        <w:rPr>
          <w:b/>
          <w:bCs/>
        </w:rPr>
        <w:t xml:space="preserve">50–60 deliveries in the second half</w:t>
      </w:r>
      <w:r>
        <w:t xml:space="preserve"> </w:t>
      </w:r>
      <w:r>
        <w:t xml:space="preserve">to reach its 90–100 annual target. (</w:t>
      </w:r>
      <w:hyperlink r:id="rId14">
        <w:r>
          <w:rPr>
            <w:rStyle w:val="Hyperlink"/>
          </w:rPr>
          <w:t xml:space="preserve">boeing.mediaroom.com</w:t>
        </w:r>
      </w:hyperlink>
      <w:r>
        <w:t xml:space="preserve">)</w:t>
      </w:r>
    </w:p>
    <w:p>
      <w:pPr>
        <w:pStyle w:val="BodyText"/>
      </w:pPr>
      <w:r>
        <w:t xml:space="preserve">The key issues are:</w:t>
      </w:r>
    </w:p>
    <w:p>
      <w:pPr>
        <w:pStyle w:val="Compact"/>
        <w:numPr>
          <w:ilvl w:val="0"/>
          <w:numId w:val="1006"/>
        </w:numPr>
      </w:pPr>
      <w:r>
        <w:t xml:space="preserve">Premium-seat certification delays</w:t>
      </w:r>
    </w:p>
    <w:p>
      <w:pPr>
        <w:pStyle w:val="Compact"/>
        <w:numPr>
          <w:ilvl w:val="0"/>
          <w:numId w:val="1006"/>
        </w:numPr>
      </w:pPr>
      <w:r>
        <w:t xml:space="preserve">GEnx engine availability</w:t>
      </w:r>
    </w:p>
    <w:p>
      <w:pPr>
        <w:pStyle w:val="Compact"/>
        <w:numPr>
          <w:ilvl w:val="0"/>
          <w:numId w:val="1006"/>
        </w:numPr>
      </w:pPr>
      <w:r>
        <w:t xml:space="preserve">Supplier performance</w:t>
      </w:r>
    </w:p>
    <w:p>
      <w:pPr>
        <w:pStyle w:val="Compact"/>
        <w:numPr>
          <w:ilvl w:val="0"/>
          <w:numId w:val="1006"/>
        </w:numPr>
      </w:pPr>
      <w:r>
        <w:t xml:space="preserve">Whether the Charleston factory is truly stable at eight per month</w:t>
      </w:r>
    </w:p>
    <w:p>
      <w:pPr>
        <w:pStyle w:val="Compact"/>
        <w:numPr>
          <w:ilvl w:val="0"/>
          <w:numId w:val="1006"/>
        </w:numPr>
      </w:pPr>
      <w:r>
        <w:t xml:space="preserve">Timing for the increase to 10</w:t>
      </w:r>
    </w:p>
    <w:p>
      <w:pPr>
        <w:pStyle w:val="FirstParagraph"/>
      </w:pPr>
      <w:r>
        <w:t xml:space="preserve">An unchanged 90–100 delivery target would be positive. But investors should press management on whether Q2’s stronger deliveries reflect sustainable production or merely the release of completed aircraft previously awaiting seats and other components.</w:t>
      </w:r>
    </w:p>
    <w:bookmarkEnd w:id="22"/>
    <w:bookmarkStart w:id="25" w:name="X5548b5068a438834c3ae6f22a59a79316afdc66"/>
    <w:p>
      <w:pPr>
        <w:pStyle w:val="Heading2"/>
      </w:pPr>
      <w:r>
        <w:t xml:space="preserve">5. Certification milestones could outweigh the quarter’s EPS</w:t>
      </w:r>
    </w:p>
    <w:bookmarkStart w:id="23" w:name="X95ef45d2d0d76b3bb79f0e97fc30c11adfd2c0e"/>
    <w:p>
      <w:pPr>
        <w:pStyle w:val="Heading3"/>
      </w:pPr>
      <w:r>
        <w:t xml:space="preserve">737 MAX 7 and MAX 10</w:t>
      </w:r>
    </w:p>
    <w:p>
      <w:pPr>
        <w:pStyle w:val="FirstParagraph"/>
      </w:pPr>
      <w:r>
        <w:t xml:space="preserve">The certification programs appear close to completion, particularly following progress on the engine anti-ice redesign. Certification in 2026 remains central to unlocking deliveries in 2027 and improving the long-term product mix.</w:t>
      </w:r>
    </w:p>
    <w:p>
      <w:pPr>
        <w:pStyle w:val="BodyText"/>
      </w:pPr>
      <w:r>
        <w:t xml:space="preserve">A firm timeline—or confirmation that certification is imminent—would be meaningful. Any slippage into 2027 would be a negative, especially for the higher-margin MAX 10.</w:t>
      </w:r>
    </w:p>
    <w:bookmarkEnd w:id="23"/>
    <w:bookmarkStart w:id="24" w:name="X6c07d11e5cb2f4735319bd9cafd86d156ffe38d"/>
    <w:p>
      <w:pPr>
        <w:pStyle w:val="Heading3"/>
      </w:pPr>
      <w:r>
        <w:t xml:space="preserve">777X</w:t>
      </w:r>
    </w:p>
    <w:p>
      <w:pPr>
        <w:pStyle w:val="FirstParagraph"/>
      </w:pPr>
      <w:r>
        <w:t xml:space="preserve">Boeing previously maintained a 2027 first-delivery target while working through certification and a GE9X engine durability modification. The program also requires extensive change incorporation on roughly 30 already-built aircraft.</w:t>
      </w:r>
    </w:p>
    <w:p>
      <w:pPr>
        <w:pStyle w:val="BodyText"/>
      </w:pPr>
      <w:r>
        <w:t xml:space="preserve">The biggest risk is another reach-forward loss. Investors should listen for:</w:t>
      </w:r>
    </w:p>
    <w:p>
      <w:pPr>
        <w:pStyle w:val="Compact"/>
        <w:numPr>
          <w:ilvl w:val="0"/>
          <w:numId w:val="1007"/>
        </w:numPr>
      </w:pPr>
      <w:r>
        <w:t xml:space="preserve">Progress beyond the TIA 4a testing phase</w:t>
      </w:r>
    </w:p>
    <w:p>
      <w:pPr>
        <w:pStyle w:val="Compact"/>
        <w:numPr>
          <w:ilvl w:val="0"/>
          <w:numId w:val="1007"/>
        </w:numPr>
      </w:pPr>
      <w:r>
        <w:t xml:space="preserve">Timing of the GE9X modification</w:t>
      </w:r>
    </w:p>
    <w:p>
      <w:pPr>
        <w:pStyle w:val="Compact"/>
        <w:numPr>
          <w:ilvl w:val="0"/>
          <w:numId w:val="1007"/>
        </w:numPr>
      </w:pPr>
      <w:r>
        <w:t xml:space="preserve">Whether 2027 remains fully intact</w:t>
      </w:r>
    </w:p>
    <w:p>
      <w:pPr>
        <w:pStyle w:val="Compact"/>
        <w:numPr>
          <w:ilvl w:val="0"/>
          <w:numId w:val="1007"/>
        </w:numPr>
      </w:pPr>
      <w:r>
        <w:t xml:space="preserve">Any increase in change-incorporation scope or cost</w:t>
      </w:r>
    </w:p>
    <w:p>
      <w:pPr>
        <w:pStyle w:val="Compact"/>
        <w:numPr>
          <w:ilvl w:val="0"/>
          <w:numId w:val="1007"/>
        </w:numPr>
      </w:pPr>
      <w:r>
        <w:t xml:space="preserve">Whether the planned long-term production rate remains achievable</w:t>
      </w:r>
    </w:p>
    <w:p>
      <w:pPr>
        <w:pStyle w:val="FirstParagraph"/>
      </w:pPr>
      <w:r>
        <w:t xml:space="preserve">A quarter without a 777X charge is important—but management must also provide enough detail to sustain confidence in the 2027 schedule.</w:t>
      </w:r>
    </w:p>
    <w:bookmarkEnd w:id="24"/>
    <w:bookmarkEnd w:id="25"/>
    <w:bookmarkStart w:id="26" w:name="Xdd4b40253c2a17ec8b7bfc26918bfe7d764a364"/>
    <w:p>
      <w:pPr>
        <w:pStyle w:val="Heading2"/>
      </w:pPr>
      <w:r>
        <w:t xml:space="preserve">6. Defense must demonstrate that Q1 was not temporary</w:t>
      </w:r>
    </w:p>
    <w:p>
      <w:pPr>
        <w:pStyle w:val="FirstParagraph"/>
      </w:pPr>
      <w:r>
        <w:t xml:space="preserve">Boeing Defense, Space &amp; Security had a relatively clean Q1, generating</w:t>
      </w:r>
      <w:r>
        <w:t xml:space="preserve"> </w:t>
      </w:r>
      <w:r>
        <w:rPr>
          <w:b/>
          <w:bCs/>
        </w:rPr>
        <w:t xml:space="preserve">$7.6 billion of revenue and a 3.1% operating margin</w:t>
      </w:r>
      <w:r>
        <w:t xml:space="preserve">, with no major estimate-at-completion adjustments. (</w:t>
      </w:r>
      <w:hyperlink r:id="rId12">
        <w:r>
          <w:rPr>
            <w:rStyle w:val="Hyperlink"/>
          </w:rPr>
          <w:t xml:space="preserve">investors.boeing.com</w:t>
        </w:r>
      </w:hyperlink>
      <w:r>
        <w:t xml:space="preserve">)</w:t>
      </w:r>
    </w:p>
    <w:p>
      <w:pPr>
        <w:pStyle w:val="BodyText"/>
      </w:pPr>
      <w:r>
        <w:t xml:space="preserve">The market will look for another positive margin and, ideally, progress toward management’s roughly mid-single-digit near-term and high-single-digit longer-term ambitions. Strong defense demand and higher production of missiles, weapons and tankers provide a favorable backdrop, but fixed-price development programs remain a recurring source of volatility.</w:t>
      </w:r>
    </w:p>
    <w:p>
      <w:pPr>
        <w:pStyle w:val="BodyText"/>
      </w:pPr>
      <w:r>
        <w:t xml:space="preserve">The essential question is simple:</w:t>
      </w:r>
      <w:r>
        <w:t xml:space="preserve"> </w:t>
      </w:r>
      <w:r>
        <w:rPr>
          <w:b/>
          <w:bCs/>
        </w:rPr>
        <w:t xml:space="preserve">Can BDS post several consecutive quarters without a major charge?</w:t>
      </w:r>
    </w:p>
    <w:p>
      <w:pPr>
        <w:pStyle w:val="BodyText"/>
      </w:pPr>
      <w:r>
        <w:t xml:space="preserve">Watch KC-46, T-7A, MQ-25, VC-25B and space programs. Even one material charge could offset otherwise healthy commercial improvement.</w:t>
      </w:r>
    </w:p>
    <w:bookmarkEnd w:id="26"/>
    <w:bookmarkStart w:id="29" w:name="Xd728720fd84376f113360c53484e589b5c2ed1b"/>
    <w:p>
      <w:pPr>
        <w:pStyle w:val="Heading2"/>
      </w:pPr>
      <w:r>
        <w:t xml:space="preserve">7. Regulatory progress is positive, but quality remains under scrutiny</w:t>
      </w:r>
    </w:p>
    <w:p>
      <w:pPr>
        <w:pStyle w:val="FirstParagraph"/>
      </w:pPr>
      <w:r>
        <w:t xml:space="preserve">The FAA recently restored Boeing’s ability to issue airworthiness certificates for all newly produced 737 MAX and 787 aircraft, effective July 20. The agency said the decision followed eight months of data showing consistent production quality, although continued FAA inspections and monitoring remain in place. (</w:t>
      </w:r>
      <w:hyperlink r:id="rId27">
        <w:r>
          <w:rPr>
            <w:rStyle w:val="Hyperlink"/>
          </w:rPr>
          <w:t xml:space="preserve">faa.gov</w:t>
        </w:r>
      </w:hyperlink>
      <w:r>
        <w:t xml:space="preserve">)</w:t>
      </w:r>
    </w:p>
    <w:p>
      <w:pPr>
        <w:pStyle w:val="BodyText"/>
      </w:pPr>
      <w:r>
        <w:t xml:space="preserve">That is a meaningful vote of confidence and could streamline the delivery process. Still, quality risk has not disappeared. On July 27, the FAA proposed corrective action covering 453 737 MAX aircraft with improperly installed passenger-seat assemblies. (</w:t>
      </w:r>
      <w:hyperlink r:id="rId28">
        <w:r>
          <w:rPr>
            <w:rStyle w:val="Hyperlink"/>
          </w:rPr>
          <w:t xml:space="preserve">streetinsider.com</w:t>
        </w:r>
      </w:hyperlink>
      <w:r>
        <w:t xml:space="preserve">)</w:t>
      </w:r>
    </w:p>
    <w:p>
      <w:pPr>
        <w:pStyle w:val="BodyText"/>
      </w:pPr>
      <w:r>
        <w:t xml:space="preserve">The immediate financial impact may be limited, but the announcement reinforces why management’s discussion of defects, rework and supplier controls will remain central to the investment case.</w:t>
      </w:r>
    </w:p>
    <w:bookmarkEnd w:id="29"/>
    <w:bookmarkStart w:id="32" w:name="bull-and-bear-scorecards"/>
    <w:p>
      <w:pPr>
        <w:pStyle w:val="Heading2"/>
      </w:pPr>
      <w:r>
        <w:t xml:space="preserve">Bull and bear scorecards</w:t>
      </w:r>
    </w:p>
    <w:bookmarkStart w:id="30" w:name="a-strong-report-would-include"/>
    <w:p>
      <w:pPr>
        <w:pStyle w:val="Heading3"/>
      </w:pPr>
      <w:r>
        <w:t xml:space="preserve">A strong report would include</w:t>
      </w:r>
    </w:p>
    <w:p>
      <w:pPr>
        <w:pStyle w:val="Compact"/>
        <w:numPr>
          <w:ilvl w:val="0"/>
          <w:numId w:val="1008"/>
        </w:numPr>
      </w:pPr>
      <w:r>
        <w:t xml:space="preserve">Revenue above approximately</w:t>
      </w:r>
      <w:r>
        <w:t xml:space="preserve"> </w:t>
      </w:r>
      <w:r>
        <w:rPr>
          <w:b/>
          <w:bCs/>
        </w:rPr>
        <w:t xml:space="preserve">$24.5 billion</w:t>
      </w:r>
    </w:p>
    <w:p>
      <w:pPr>
        <w:pStyle w:val="Compact"/>
        <w:numPr>
          <w:ilvl w:val="0"/>
          <w:numId w:val="1008"/>
        </w:numPr>
      </w:pPr>
      <w:r>
        <w:t xml:space="preserve">Core EPS near breakeven or better</w:t>
      </w:r>
    </w:p>
    <w:p>
      <w:pPr>
        <w:pStyle w:val="Compact"/>
        <w:numPr>
          <w:ilvl w:val="0"/>
          <w:numId w:val="1008"/>
        </w:numPr>
      </w:pPr>
      <w:r>
        <w:t xml:space="preserve">Q2 FCF better than a $300 million outflow</w:t>
      </w:r>
    </w:p>
    <w:p>
      <w:pPr>
        <w:pStyle w:val="Compact"/>
        <w:numPr>
          <w:ilvl w:val="0"/>
          <w:numId w:val="1008"/>
        </w:numPr>
      </w:pPr>
      <w:r>
        <w:t xml:space="preserve">Reaffirmed</w:t>
      </w:r>
      <w:r>
        <w:t xml:space="preserve"> </w:t>
      </w:r>
      <w:r>
        <w:rPr>
          <w:b/>
          <w:bCs/>
        </w:rPr>
        <w:t xml:space="preserve">$1–3 billion</w:t>
      </w:r>
      <w:r>
        <w:t xml:space="preserve"> </w:t>
      </w:r>
      <w:r>
        <w:t xml:space="preserve">full-year FCF</w:t>
      </w:r>
    </w:p>
    <w:p>
      <w:pPr>
        <w:pStyle w:val="Compact"/>
        <w:numPr>
          <w:ilvl w:val="0"/>
          <w:numId w:val="1008"/>
        </w:numPr>
      </w:pPr>
      <w:r>
        <w:t xml:space="preserve">Confirmation that 737 production is at or near 47 per month</w:t>
      </w:r>
    </w:p>
    <w:p>
      <w:pPr>
        <w:pStyle w:val="Compact"/>
        <w:numPr>
          <w:ilvl w:val="0"/>
          <w:numId w:val="1008"/>
        </w:numPr>
      </w:pPr>
      <w:r>
        <w:t xml:space="preserve">Reaffirmed 500 737 and 90–100 787 delivery objectives</w:t>
      </w:r>
    </w:p>
    <w:p>
      <w:pPr>
        <w:pStyle w:val="Compact"/>
        <w:numPr>
          <w:ilvl w:val="0"/>
          <w:numId w:val="1008"/>
        </w:numPr>
      </w:pPr>
      <w:r>
        <w:t xml:space="preserve">No material BDS or 777X charges</w:t>
      </w:r>
    </w:p>
    <w:p>
      <w:pPr>
        <w:pStyle w:val="Compact"/>
        <w:numPr>
          <w:ilvl w:val="0"/>
          <w:numId w:val="1008"/>
        </w:numPr>
      </w:pPr>
      <w:r>
        <w:t xml:space="preserve">Clear progress on MAX 7/MAX 10 and 777X certification</w:t>
      </w:r>
    </w:p>
    <w:p>
      <w:pPr>
        <w:pStyle w:val="Compact"/>
        <w:numPr>
          <w:ilvl w:val="0"/>
          <w:numId w:val="1008"/>
        </w:numPr>
      </w:pPr>
      <w:r>
        <w:t xml:space="preserve">Continued BCA margin improvement</w:t>
      </w:r>
    </w:p>
    <w:bookmarkEnd w:id="30"/>
    <w:bookmarkStart w:id="31" w:name="a-weak-report-would-include"/>
    <w:p>
      <w:pPr>
        <w:pStyle w:val="Heading3"/>
      </w:pPr>
      <w:r>
        <w:t xml:space="preserve">A weak report would include</w:t>
      </w:r>
    </w:p>
    <w:p>
      <w:pPr>
        <w:pStyle w:val="Compact"/>
        <w:numPr>
          <w:ilvl w:val="0"/>
          <w:numId w:val="1009"/>
        </w:numPr>
      </w:pPr>
      <w:r>
        <w:t xml:space="preserve">FCF usage materially above the low-hundreds range</w:t>
      </w:r>
    </w:p>
    <w:p>
      <w:pPr>
        <w:pStyle w:val="Compact"/>
        <w:numPr>
          <w:ilvl w:val="0"/>
          <w:numId w:val="1009"/>
        </w:numPr>
      </w:pPr>
      <w:r>
        <w:t xml:space="preserve">Reduced or qualified full-year cash guidance</w:t>
      </w:r>
    </w:p>
    <w:p>
      <w:pPr>
        <w:pStyle w:val="Compact"/>
        <w:numPr>
          <w:ilvl w:val="0"/>
          <w:numId w:val="1009"/>
        </w:numPr>
      </w:pPr>
      <w:r>
        <w:t xml:space="preserve">A delay in the 737 rate increase</w:t>
      </w:r>
    </w:p>
    <w:p>
      <w:pPr>
        <w:pStyle w:val="Compact"/>
        <w:numPr>
          <w:ilvl w:val="0"/>
          <w:numId w:val="1009"/>
        </w:numPr>
      </w:pPr>
      <w:r>
        <w:t xml:space="preserve">Lower 787 delivery or production expectations</w:t>
      </w:r>
    </w:p>
    <w:p>
      <w:pPr>
        <w:pStyle w:val="Compact"/>
        <w:numPr>
          <w:ilvl w:val="0"/>
          <w:numId w:val="1009"/>
        </w:numPr>
      </w:pPr>
      <w:r>
        <w:t xml:space="preserve">Additional 777X costs or schedule slippage</w:t>
      </w:r>
    </w:p>
    <w:p>
      <w:pPr>
        <w:pStyle w:val="Compact"/>
        <w:numPr>
          <w:ilvl w:val="0"/>
          <w:numId w:val="1009"/>
        </w:numPr>
      </w:pPr>
      <w:r>
        <w:t xml:space="preserve">A return to large defense charges</w:t>
      </w:r>
    </w:p>
    <w:p>
      <w:pPr>
        <w:pStyle w:val="Compact"/>
        <w:numPr>
          <w:ilvl w:val="0"/>
          <w:numId w:val="1009"/>
        </w:numPr>
      </w:pPr>
      <w:r>
        <w:t xml:space="preserve">Evidence that Spirit integration is causing greater cash or margin dilution</w:t>
      </w:r>
    </w:p>
    <w:p>
      <w:pPr>
        <w:pStyle w:val="Compact"/>
        <w:numPr>
          <w:ilvl w:val="0"/>
          <w:numId w:val="1009"/>
        </w:numPr>
      </w:pPr>
      <w:r>
        <w:t xml:space="preserve">Quality findings that disrupt production or deliveries</w:t>
      </w:r>
    </w:p>
    <w:bookmarkEnd w:id="31"/>
    <w:bookmarkEnd w:id="32"/>
    <w:bookmarkStart w:id="33" w:name="investment-conclusion"/>
    <w:p>
      <w:pPr>
        <w:pStyle w:val="Heading2"/>
      </w:pPr>
      <w:r>
        <w:t xml:space="preserve">Investment conclusion</w:t>
      </w:r>
    </w:p>
    <w:p>
      <w:pPr>
        <w:pStyle w:val="FirstParagraph"/>
      </w:pPr>
      <w:r>
        <w:t xml:space="preserve">Boeing enters Q2 with better operational momentum than it had at the start of the year. Deliveries are rising, the FAA has returned additional certification authority, the fourth 737 line is open, and demand remains strong.</w:t>
      </w:r>
    </w:p>
    <w:p>
      <w:pPr>
        <w:pStyle w:val="BodyText"/>
      </w:pPr>
      <w:r>
        <w:t xml:space="preserve">But the turnaround is not yet self-funding. The company still needs a very strong second half to reach its cash target, and its recovery remains exposed to supply-chain constraints, certification timing and fixed-price defense risk.</w:t>
      </w:r>
    </w:p>
    <w:p>
      <w:pPr>
        <w:pStyle w:val="BodyText"/>
      </w:pPr>
      <w:r>
        <w:rPr>
          <w:b/>
          <w:bCs/>
        </w:rPr>
        <w:t xml:space="preserve">The cleanest positive signal would not be an EPS beat—it would be reaffirmed cash guidance backed by stable 737 production, improving BCA margins and another quarter without major program charges.</w:t>
      </w:r>
      <w:r>
        <w:t xml:space="preserve"> </w:t>
      </w:r>
      <w:r>
        <w:t xml:space="preserve">If Boeing delivers those items, investors can look through ordinary quarterly accounting noise. If it cannot, the market is likely to question whether the production recovery is translating into financial recovery quickly enough.</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boeing.mediaroom.com/2026-07-01-Boeing-to-Release-Second-Quarter-Results-on-July-28" TargetMode="External" /><Relationship Type="http://schemas.openxmlformats.org/officeDocument/2006/relationships/hyperlink" Id="rId14" Target="https://boeing.mediaroom.com/2026-07-14-Boeing-Announces-Second-Quarter-Deliveries?pubDate=20260714" TargetMode="External" /><Relationship Type="http://schemas.openxmlformats.org/officeDocument/2006/relationships/hyperlink" Id="rId15" Target="https://investors.boeing.com/investors/news/press-release-details/2026/Boeing-Announces-Second-Quarter-Deliveries/default.aspx?utm_source=openai" TargetMode="External" /><Relationship Type="http://schemas.openxmlformats.org/officeDocument/2006/relationships/hyperlink" Id="rId12" Target="https://investors.boeing.com/investors/news/press-release-details/2026/Boeing-Reports-First-Quarter-Results/default.aspx?pubDate=20260513&amp;utm_source=openai" TargetMode="External" /><Relationship Type="http://schemas.openxmlformats.org/officeDocument/2006/relationships/hyperlink" Id="rId19" Target="https://s2.q4cdn.com/661678649/files/doc_financials/2026/q1/Transcript.pdf" TargetMode="External" /><Relationship Type="http://schemas.openxmlformats.org/officeDocument/2006/relationships/hyperlink" Id="rId16" Target="https://www.boeing.com/features/2026/05/737-off-and-rolling-toward-higher-production-rate-ceo-says?utm_source=openai" TargetMode="External" /><Relationship Type="http://schemas.openxmlformats.org/officeDocument/2006/relationships/hyperlink" Id="rId27" Target="https://www.faa.gov/newsroom/after-months-safety-review-faa-allows-boeing-resume-issuing-certificates-new-airplanes?utm_source=openai" TargetMode="External" /><Relationship Type="http://schemas.openxmlformats.org/officeDocument/2006/relationships/hyperlink" Id="rId11" Target="https://www.marketbeat.com/earnings/reports/2026-7-28-the-boeing-company-stock/" TargetMode="External" /><Relationship Type="http://schemas.openxmlformats.org/officeDocument/2006/relationships/hyperlink" Id="rId28" Target="https://www.streetinsider.com/Reuters/FAA%2Bsays%2Bseats%2Bon%2Bhundreds%2Bof%2BBoeing%2B737%2BMAX%2Bwere%2Bincorrectly%2Binstalled/26820791.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boeing.mediaroom.com/2026-07-01-Boeing-to-Release-Second-Quarter-Results-on-July-28" TargetMode="External" /><Relationship Type="http://schemas.openxmlformats.org/officeDocument/2006/relationships/hyperlink" Id="rId14" Target="https://boeing.mediaroom.com/2026-07-14-Boeing-Announces-Second-Quarter-Deliveries?pubDate=20260714" TargetMode="External" /><Relationship Type="http://schemas.openxmlformats.org/officeDocument/2006/relationships/hyperlink" Id="rId15" Target="https://investors.boeing.com/investors/news/press-release-details/2026/Boeing-Announces-Second-Quarter-Deliveries/default.aspx?utm_source=openai" TargetMode="External" /><Relationship Type="http://schemas.openxmlformats.org/officeDocument/2006/relationships/hyperlink" Id="rId12" Target="https://investors.boeing.com/investors/news/press-release-details/2026/Boeing-Reports-First-Quarter-Results/default.aspx?pubDate=20260513&amp;utm_source=openai" TargetMode="External" /><Relationship Type="http://schemas.openxmlformats.org/officeDocument/2006/relationships/hyperlink" Id="rId19" Target="https://s2.q4cdn.com/661678649/files/doc_financials/2026/q1/Transcript.pdf" TargetMode="External" /><Relationship Type="http://schemas.openxmlformats.org/officeDocument/2006/relationships/hyperlink" Id="rId16" Target="https://www.boeing.com/features/2026/05/737-off-and-rolling-toward-higher-production-rate-ceo-says?utm_source=openai" TargetMode="External" /><Relationship Type="http://schemas.openxmlformats.org/officeDocument/2006/relationships/hyperlink" Id="rId27" Target="https://www.faa.gov/newsroom/after-months-safety-review-faa-allows-boeing-resume-issuing-certificates-new-airplanes?utm_source=openai" TargetMode="External" /><Relationship Type="http://schemas.openxmlformats.org/officeDocument/2006/relationships/hyperlink" Id="rId11" Target="https://www.marketbeat.com/earnings/reports/2026-7-28-the-boeing-company-stock/" TargetMode="External" /><Relationship Type="http://schemas.openxmlformats.org/officeDocument/2006/relationships/hyperlink" Id="rId28" Target="https://www.streetinsider.com/Reuters/FAA%2Bsays%2Bseats%2Bon%2Bhundreds%2Bof%2BBoeing%2B737%2BMAX%2Bwere%2Bincorrectly%2Binstalled/26820791.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2026-07-28T00:55:51Z</dcterms:created>
  <dcterms:modified xsi:type="dcterms:W3CDTF">2026-07-28T00:55:51Z</dcterms:modified>
</cp:coreProperties>
</file>

<file path=docProps/custom.xml><?xml version="1.0" encoding="utf-8"?>
<Properties xmlns="http://schemas.openxmlformats.org/officeDocument/2006/custom-properties" xmlns:vt="http://schemas.openxmlformats.org/officeDocument/2006/docPropsVTypes"/>
</file>