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ba-earnings-predictions--2026-07-28"/>
    <w:p>
      <w:pPr>
        <w:pStyle w:val="Heading1"/>
      </w:pPr>
      <w:r>
        <w:t xml:space="preserve">BA Earnings Predictions — 2026-07-28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BA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~$24.1B vs. cons $23.7B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Core EPS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~-</w:t>
            </w:r>
            <m:oMath>
              <m:r>
                <m:t>0.28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rPr>
                  <m:sty m:val="p"/>
                </m:rPr>
                <m:t>−</m:t>
              </m:r>
            </m:oMath>
            <w:r>
              <w:t xml:space="preserve">0.12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Free cash flow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~-</w:t>
            </w:r>
            <m:oMath>
              <m:r>
                <m:t>0.25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rPr>
                  <m:sty m:val="p"/>
                </m:rPr>
                <m:t>−</m:t>
              </m:r>
            </m:oMath>
            <w:r>
              <w:t xml:space="preserve">0.24B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commercial-aircraft deliveries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~500 aircraft vs. cons 500 aircraft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BA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free cash flow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~$2.0B midpoint vs. cons $2.0B midpoint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BA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787 deliveries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~95 aircraft midpoint vs. cons 95 aircraft midpoint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BDS operating margin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~3.5% vs. cons 3.5%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BA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BA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+3.5% (FOLLOW-THROUGH)</w:t>
            </w:r>
          </w:p>
        </w:tc>
        <w:tc>
          <w:tcPr/>
          <w:p>
            <w:pPr>
              <w:pStyle w:val="Compact"/>
            </w:pPr>
            <w:r>
              <w:t xml:space="preserve">Revenue and delivery upside, confirmation of 47-per-month 737 production, and constructive MAX 7/10 certification commentary should outweigh a modest core-EPS miss. With FY2026 delivery and free-cash-flow guides held at ~500 aircraft and ~$2.0B midpoint, out-period estimates should remain intact rather than suffer implicit cuts.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2026-07-28T00:53:57Z</dcterms:created>
  <dcterms:modified xsi:type="dcterms:W3CDTF">2026-07-28T00:53:57Z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