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boeing-nyse-ba--2q26-earnings-preview"/>
    <w:p>
      <w:pPr>
        <w:pStyle w:val="Heading1"/>
      </w:pPr>
      <w:r>
        <w:t xml:space="preserve">Boeing (NYSE: BA) — 2Q26 Earnings Preview</w:t>
      </w:r>
    </w:p>
    <w:p>
      <w:pPr>
        <w:pStyle w:val="BlockText"/>
      </w:pPr>
      <w:r>
        <w:rPr>
          <w:b/>
          <w:bCs/>
        </w:rPr>
        <w:t xml:space="preserve">Timing note:</w:t>
      </w:r>
      <w:r>
        <w:t xml:space="preserve"> </w:t>
      </w:r>
      <w:r>
        <w:t xml:space="preserve">The date supplied in the prompt is inconsistent with the current calendar. Today is</w:t>
      </w:r>
      <w:r>
        <w:t xml:space="preserve"> </w:t>
      </w:r>
      <w:r>
        <w:rPr>
          <w:b/>
          <w:bCs/>
        </w:rPr>
        <w:t xml:space="preserve">Tuesday, July 28, 2026</w:t>
      </w:r>
      <w:r>
        <w:t xml:space="preserve">; Boeing’s 2Q26 report is scheduled for</w:t>
      </w:r>
      <w:r>
        <w:t xml:space="preserve"> </w:t>
      </w:r>
      <w:r>
        <w:rPr>
          <w:b/>
          <w:bCs/>
        </w:rPr>
        <w:t xml:space="preserve">July 28 before the U.S. market opens</w:t>
      </w:r>
      <w:r>
        <w:t xml:space="preserve">, rather than “tomorrow.” This is therefore framed as a</w:t>
      </w:r>
      <w:r>
        <w:t xml:space="preserve"> </w:t>
      </w:r>
      <w:r>
        <w:rPr>
          <w:i/>
          <w:iCs/>
        </w:rPr>
        <w:t xml:space="preserve">pre-release / report-day</w:t>
      </w:r>
      <w:r>
        <w:t xml:space="preserve"> </w:t>
      </w:r>
      <w:r>
        <w:t xml:space="preserve">preview based on information available ahead of the release.</w:t>
      </w:r>
    </w:p>
    <w:bookmarkStart w:id="9" w:name="Xf76bb4ba456cf1fb300ec1e2d8464fa136f39b5"/>
    <w:p>
      <w:pPr>
        <w:pStyle w:val="Heading2"/>
      </w:pPr>
      <w:r>
        <w:t xml:space="preserve">Investment view: this is an execution-and-guidance report, not an EPS report</w:t>
      </w:r>
    </w:p>
    <w:p>
      <w:pPr>
        <w:pStyle w:val="FirstParagraph"/>
      </w:pPr>
      <w:r>
        <w:t xml:space="preserve">Boeing enters 2Q with its recovery narrative increasingly supported by tangible operating progress: higher commercial deliveries, a 737 production ramp, improving regulatory engagement, and a defense backdrop that appears favorable. But the stock’s next move is likely to hinge far more on the</w:t>
      </w:r>
      <w:r>
        <w:t xml:space="preserve"> </w:t>
      </w:r>
      <w:r>
        <w:rPr>
          <w:b/>
          <w:bCs/>
        </w:rPr>
        <w:t xml:space="preserve">credibility of the production, certification, and free-cash-flow trajectory</w:t>
      </w:r>
      <w:r>
        <w:t xml:space="preserve"> </w:t>
      </w:r>
      <w:r>
        <w:t xml:space="preserve">than on any modest quarterly revenue or EPS variance.</w:t>
      </w:r>
    </w:p>
    <w:p>
      <w:pPr>
        <w:pStyle w:val="BodyText"/>
      </w:pPr>
      <w:r>
        <w:t xml:space="preserve">The central question is simple:</w:t>
      </w:r>
    </w:p>
    <w:p>
      <w:pPr>
        <w:pStyle w:val="BlockText"/>
      </w:pPr>
      <w:r>
        <w:rPr>
          <w:b/>
          <w:bCs/>
        </w:rPr>
        <w:t xml:space="preserve">Can Boeing demonstrate that 2026 is the year it converts a healthier factory system into sustained deliveries and positive cash generation—without another quality, supplier, or certification disruption?</w:t>
      </w:r>
    </w:p>
    <w:p>
      <w:pPr>
        <w:pStyle w:val="FirstParagraph"/>
      </w:pPr>
      <w:r>
        <w:t xml:space="preserve">Management’s 1Q commentary set a high but achievable bar:</w:t>
      </w:r>
      <w:r>
        <w:t xml:space="preserve"> </w:t>
      </w:r>
      <w:r>
        <w:rPr>
          <w:b/>
          <w:bCs/>
        </w:rPr>
        <w:t xml:space="preserve">500 commercial deliveries in 2026</w:t>
      </w:r>
      <w:r>
        <w:t xml:space="preserve">, positive full-year free cash flow of</w:t>
      </w:r>
      <w:r>
        <w:t xml:space="preserve"> </w:t>
      </w:r>
      <m:oMath>
        <m:r>
          <m:t>1</m:t>
        </m:r>
        <m:r>
          <m:t>b</m:t>
        </m:r>
        <m:r>
          <m:t>i</m:t>
        </m:r>
        <m:r>
          <m:t>l</m:t>
        </m:r>
        <m:r>
          <m:t>l</m:t>
        </m:r>
        <m:r>
          <m:t>i</m:t>
        </m:r>
        <m:r>
          <m:t>o</m:t>
        </m:r>
        <m:r>
          <m:t>n</m:t>
        </m:r>
        <m:r>
          <m:rPr>
            <m:sty m:val="p"/>
          </m:rPr>
          <m:t>–</m:t>
        </m:r>
      </m:oMath>
      <w:r>
        <w:rPr>
          <w:b/>
          <w:bCs/>
        </w:rPr>
        <w:t xml:space="preserve">3 billion</w:t>
      </w:r>
      <w:r>
        <w:t xml:space="preserve">, 737 production moving from 42 to 47 per month, and 787 production rising from eight to 10 per month later this year. The 2Q release needs to reaffirm that framework, ideally with evidence that progress is becoming more repeatable rather than dependent on inventory buffers and timing.</w:t>
      </w:r>
    </w:p>
    <w:p>
      <w:r>
        <w:pict>
          <v:rect style="width:0;height:1.5pt" o:hralign="center" o:hrstd="t" o:hr="t"/>
        </w:pict>
      </w:r>
    </w:p>
    <w:bookmarkEnd w:id="9"/>
    <w:bookmarkStart w:id="10" w:name="what-matters-most-into-the-print"/>
    <w:p>
      <w:pPr>
        <w:pStyle w:val="Heading2"/>
      </w:pPr>
      <w:r>
        <w:t xml:space="preserve">What matters most into the print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Topic</w:t>
            </w:r>
          </w:p>
        </w:tc>
        <w:tc>
          <w:tcPr/>
          <w:p>
            <w:pPr>
              <w:pStyle w:val="Compact"/>
            </w:pPr>
            <w:r>
              <w:t xml:space="preserve">Why it matters</w:t>
            </w:r>
          </w:p>
        </w:tc>
        <w:tc>
          <w:tcPr/>
          <w:p>
            <w:pPr>
              <w:pStyle w:val="Compact"/>
            </w:pPr>
            <w:r>
              <w:t xml:space="preserve">What investors should look for</w:t>
            </w:r>
          </w:p>
        </w:tc>
      </w:tr>
      <w:tr>
        <w:tc>
          <w:tcPr/>
          <w:p>
            <w:pPr>
              <w:pStyle w:val="Compact"/>
            </w:pPr>
            <w:r>
              <w:rPr>
                <w:b/>
                <w:bCs/>
              </w:rPr>
              <w:t xml:space="preserve">737 production and deliveries</w:t>
            </w:r>
          </w:p>
        </w:tc>
        <w:tc>
          <w:tcPr/>
          <w:p>
            <w:pPr>
              <w:pStyle w:val="Compact"/>
            </w:pPr>
            <w:r>
              <w:t xml:space="preserve">The 737 is the largest driver of the commercial recovery and future cash conversion.</w:t>
            </w:r>
          </w:p>
        </w:tc>
        <w:tc>
          <w:tcPr/>
          <w:p>
            <w:pPr>
              <w:pStyle w:val="Compact"/>
            </w:pPr>
            <w:r>
              <w:t xml:space="preserve">Confirmation that rate</w:t>
            </w:r>
            <w:r>
              <w:t xml:space="preserve"> </w:t>
            </w:r>
            <w:r>
              <w:rPr>
                <w:b/>
                <w:bCs/>
              </w:rPr>
              <w:t xml:space="preserve">47/month</w:t>
            </w:r>
            <w:r>
              <w:t xml:space="preserve"> </w:t>
            </w:r>
            <w:r>
              <w:t xml:space="preserve">is stable, quality metrics remain acceptable, and the Everett North Line remains on plan to support the eventual move toward 52/month.</w:t>
            </w:r>
          </w:p>
        </w:tc>
      </w:tr>
      <w:tr>
        <w:tc>
          <w:tcPr/>
          <w:p>
            <w:pPr>
              <w:pStyle w:val="Compact"/>
            </w:pPr>
            <w:r>
              <w:rPr>
                <w:b/>
                <w:bCs/>
              </w:rPr>
              <w:t xml:space="preserve">737 MAX 7/10 certification</w:t>
            </w:r>
          </w:p>
        </w:tc>
        <w:tc>
          <w:tcPr/>
          <w:p>
            <w:pPr>
              <w:pStyle w:val="Compact"/>
            </w:pPr>
            <w:r>
              <w:t xml:space="preserve">Certification unlocks deliveries, improves product coverage, and supports future margin/cash-flow potential—especially for the MAX 10.</w:t>
            </w:r>
          </w:p>
        </w:tc>
        <w:tc>
          <w:tcPr/>
          <w:p>
            <w:pPr>
              <w:pStyle w:val="Compact"/>
            </w:pPr>
            <w:r>
              <w:t xml:space="preserve">A clear regulatory timetable, successful conclusion of anti-ice-system testing, and no new FAA-driven requirements.</w:t>
            </w:r>
          </w:p>
        </w:tc>
      </w:tr>
      <w:tr>
        <w:tc>
          <w:tcPr/>
          <w:p>
            <w:pPr>
              <w:pStyle w:val="Compact"/>
            </w:pPr>
            <w:r>
              <w:rPr>
                <w:b/>
                <w:bCs/>
              </w:rPr>
              <w:t xml:space="preserve">787 delivery pace and supply chain</w:t>
            </w:r>
          </w:p>
        </w:tc>
        <w:tc>
          <w:tcPr/>
          <w:p>
            <w:pPr>
              <w:pStyle w:val="Compact"/>
            </w:pPr>
            <w:r>
              <w:t xml:space="preserve">Widebody deliveries are valuable for cash flow, but the program has been constrained by premium-seat certifications and GEnx engine availability.</w:t>
            </w:r>
          </w:p>
        </w:tc>
        <w:tc>
          <w:tcPr/>
          <w:p>
            <w:pPr>
              <w:pStyle w:val="Compact"/>
            </w:pPr>
            <w:r>
              <w:t xml:space="preserve">Reaffirmation of the</w:t>
            </w:r>
            <w:r>
              <w:t xml:space="preserve"> </w:t>
            </w:r>
            <w:r>
              <w:rPr>
                <w:b/>
                <w:bCs/>
              </w:rPr>
              <w:t xml:space="preserve">90–100 aircraft</w:t>
            </w:r>
            <w:r>
              <w:t xml:space="preserve"> </w:t>
            </w:r>
            <w:r>
              <w:t xml:space="preserve">full-year delivery target and confidence in the planned move to</w:t>
            </w:r>
            <w:r>
              <w:t xml:space="preserve"> </w:t>
            </w:r>
            <w:r>
              <w:rPr>
                <w:b/>
                <w:bCs/>
              </w:rPr>
              <w:t xml:space="preserve">10/month</w:t>
            </w:r>
            <w:r>
              <w:t xml:space="preserve"> </w:t>
            </w:r>
            <w:r>
              <w:t xml:space="preserve">late in 2026.</w:t>
            </w:r>
          </w:p>
        </w:tc>
      </w:tr>
      <w:tr>
        <w:tc>
          <w:tcPr/>
          <w:p>
            <w:pPr>
              <w:pStyle w:val="Compact"/>
            </w:pPr>
            <w:r>
              <w:rPr>
                <w:b/>
                <w:bCs/>
              </w:rPr>
              <w:t xml:space="preserve">Free cash flow</w:t>
            </w:r>
          </w:p>
        </w:tc>
        <w:tc>
          <w:tcPr/>
          <w:p>
            <w:pPr>
              <w:pStyle w:val="Compact"/>
            </w:pPr>
            <w:r>
              <w:t xml:space="preserve">Boeing’s equity case ultimately depends on cash generation and deleveraging—not accounting earnings.</w:t>
            </w:r>
          </w:p>
        </w:tc>
        <w:tc>
          <w:tcPr/>
          <w:p>
            <w:pPr>
              <w:pStyle w:val="Compact"/>
            </w:pPr>
            <w:r>
              <w:t xml:space="preserve">Whether 2Q cash use is consistent with management’s prior expectation of a</w:t>
            </w:r>
            <w:r>
              <w:t xml:space="preserve"> </w:t>
            </w:r>
            <w:r>
              <w:rPr>
                <w:b/>
                <w:bCs/>
              </w:rPr>
              <w:t xml:space="preserve">low-hundreds-of-millions</w:t>
            </w:r>
            <w:r>
              <w:t xml:space="preserve"> </w:t>
            </w:r>
            <w:r>
              <w:t xml:space="preserve">outflow and whether full-year</w:t>
            </w:r>
            <w:r>
              <w:t xml:space="preserve"> </w:t>
            </w:r>
            <m:oMath>
              <m:r>
                <m:t>1</m:t>
              </m:r>
              <m:r>
                <m:t>B</m:t>
              </m:r>
              <m:r>
                <m:rPr>
                  <m:sty m:val="p"/>
                </m:rPr>
                <m:t>–</m:t>
              </m:r>
            </m:oMath>
            <w:r>
              <w:rPr>
                <w:b/>
                <w:bCs/>
              </w:rPr>
              <w:t xml:space="preserve">3B positive FCF</w:t>
            </w:r>
            <w:r>
              <w:t xml:space="preserve"> </w:t>
            </w:r>
            <w:r>
              <w:t xml:space="preserve">guidance stands.</w:t>
            </w:r>
          </w:p>
        </w:tc>
      </w:tr>
      <w:tr>
        <w:tc>
          <w:tcPr/>
          <w:p>
            <w:pPr>
              <w:pStyle w:val="Compact"/>
            </w:pPr>
            <w:r>
              <w:rPr>
                <w:b/>
                <w:bCs/>
              </w:rPr>
              <w:t xml:space="preserve">BCA margin path</w:t>
            </w:r>
          </w:p>
        </w:tc>
        <w:tc>
          <w:tcPr/>
          <w:p>
            <w:pPr>
              <w:pStyle w:val="Compact"/>
            </w:pPr>
            <w:r>
              <w:t xml:space="preserve">Commercial Airplanes remains loss-making, so delivery growth must start producing visible earnings leverage.</w:t>
            </w:r>
          </w:p>
        </w:tc>
        <w:tc>
          <w:tcPr/>
          <w:p>
            <w:pPr>
              <w:pStyle w:val="Compact"/>
            </w:pPr>
            <w:r>
              <w:t xml:space="preserve">Evidence of sequential improvement; management previously targeted positive BCA margins around mid-2027.</w:t>
            </w:r>
          </w:p>
        </w:tc>
      </w:tr>
      <w:tr>
        <w:tc>
          <w:tcPr/>
          <w:p>
            <w:pPr>
              <w:pStyle w:val="Compact"/>
            </w:pPr>
            <w:r>
              <w:rPr>
                <w:b/>
                <w:bCs/>
              </w:rPr>
              <w:t xml:space="preserve">Defense margin recovery</w:t>
            </w:r>
          </w:p>
        </w:tc>
        <w:tc>
          <w:tcPr/>
          <w:p>
            <w:pPr>
              <w:pStyle w:val="Compact"/>
            </w:pPr>
            <w:r>
              <w:t xml:space="preserve">BDS is benefiting from stronger demand, but its margins remain well below mature-defense-peer levels.</w:t>
            </w:r>
          </w:p>
        </w:tc>
        <w:tc>
          <w:tcPr/>
          <w:p>
            <w:pPr>
              <w:pStyle w:val="Compact"/>
            </w:pPr>
            <w:r>
              <w:t xml:space="preserve">Progress toward roughly</w:t>
            </w:r>
            <w:r>
              <w:t xml:space="preserve"> </w:t>
            </w:r>
            <w:r>
              <w:rPr>
                <w:b/>
                <w:bCs/>
              </w:rPr>
              <w:t xml:space="preserve">3.5%</w:t>
            </w:r>
            <w:r>
              <w:t xml:space="preserve"> </w:t>
            </w:r>
            <w:r>
              <w:t xml:space="preserve">BDS margin for 2026, absence of material program charges, and commentary on missiles, tankers, classified programs, and international opportunities.</w:t>
            </w:r>
          </w:p>
        </w:tc>
      </w:tr>
      <w:tr>
        <w:tc>
          <w:tcPr/>
          <w:p>
            <w:pPr>
              <w:pStyle w:val="Compact"/>
            </w:pPr>
            <w:r>
              <w:rPr>
                <w:b/>
                <w:bCs/>
              </w:rPr>
              <w:t xml:space="preserve">Balance sheet and liquidity</w:t>
            </w:r>
          </w:p>
        </w:tc>
        <w:tc>
          <w:tcPr/>
          <w:p>
            <w:pPr>
              <w:pStyle w:val="Compact"/>
            </w:pPr>
            <w:r>
              <w:t xml:space="preserve">The company still carries significant debt and must fund production growth, supplier support, and program execution.</w:t>
            </w:r>
          </w:p>
        </w:tc>
        <w:tc>
          <w:tcPr/>
          <w:p>
            <w:pPr>
              <w:pStyle w:val="Compact"/>
            </w:pPr>
            <w:r>
              <w:t xml:space="preserve">Cash use, debt reduction, expected Department of Justice payment timing, and any change to the path toward investment-grade credit metrics.</w:t>
            </w:r>
          </w:p>
        </w:tc>
      </w:tr>
    </w:tbl>
    <w:p>
      <w:r>
        <w:pict>
          <v:rect style="width:0;height:1.5pt" o:hralign="center" o:hrstd="t" o:hr="t"/>
        </w:pict>
      </w:r>
    </w:p>
    <w:bookmarkEnd w:id="10"/>
    <w:bookmarkStart w:id="11" w:name="X8d3984d7aac9f5b1ba22438300ab8c012847b31"/>
    <w:p>
      <w:pPr>
        <w:pStyle w:val="Heading2"/>
      </w:pPr>
      <w:r>
        <w:t xml:space="preserve">The setup: fundamentals are improving, but expectations have also risen</w:t>
      </w:r>
    </w:p>
    <w:p>
      <w:pPr>
        <w:pStyle w:val="FirstParagraph"/>
      </w:pPr>
      <w:r>
        <w:t xml:space="preserve">Boeing reported a constructive 1Q26: revenue increased 14% year over year to</w:t>
      </w:r>
      <w:r>
        <w:t xml:space="preserve"> </w:t>
      </w:r>
      <m:oMath>
        <m:r>
          <m:t>22.2</m:t>
        </m:r>
        <m:r>
          <m:t>b</m:t>
        </m:r>
        <m:r>
          <m:t>i</m:t>
        </m:r>
        <m:r>
          <m:t>l</m:t>
        </m:r>
        <m:r>
          <m:t>l</m:t>
        </m:r>
        <m:r>
          <m:t>i</m:t>
        </m:r>
        <m:r>
          <m:t>o</m:t>
        </m:r>
        <m:r>
          <m:t>n</m:t>
        </m:r>
        <m:r>
          <m:rPr>
            <m:sty m:val="p"/>
          </m:rPr>
          <m:t>*</m:t>
        </m:r>
        <m:r>
          <m:rPr>
            <m:sty m:val="p"/>
          </m:rPr>
          <m:t>*</m:t>
        </m:r>
        <m:r>
          <m:rPr>
            <m:sty m:val="p"/>
          </m:rPr>
          <m:t>,</m:t>
        </m:r>
        <m:r>
          <m:t>d</m:t>
        </m:r>
        <m:r>
          <m:t>r</m:t>
        </m:r>
        <m:r>
          <m:t>i</m:t>
        </m:r>
        <m:r>
          <m:t>v</m:t>
        </m:r>
        <m:r>
          <m:t>e</m:t>
        </m:r>
        <m:r>
          <m:t>n</m:t>
        </m:r>
        <m:r>
          <m:t>p</m:t>
        </m:r>
        <m:r>
          <m:t>r</m:t>
        </m:r>
        <m:r>
          <m:t>i</m:t>
        </m:r>
        <m:r>
          <m:t>m</m:t>
        </m:r>
        <m:r>
          <m:t>a</m:t>
        </m:r>
        <m:r>
          <m:t>r</m:t>
        </m:r>
        <m:r>
          <m:t>i</m:t>
        </m:r>
        <m:r>
          <m:t>l</m:t>
        </m:r>
        <m:r>
          <m:t>y</m:t>
        </m:r>
        <m:r>
          <m:t>b</m:t>
        </m:r>
        <m:r>
          <m:t>y</m:t>
        </m:r>
        <m:r>
          <m:rPr>
            <m:sty m:val="p"/>
          </m:rPr>
          <m:t>*</m:t>
        </m:r>
        <m:r>
          <m:rPr>
            <m:sty m:val="p"/>
          </m:rPr>
          <m:t>*</m:t>
        </m:r>
        <m:r>
          <m:t>143</m:t>
        </m:r>
        <m:r>
          <m:t>c</m:t>
        </m:r>
        <m:r>
          <m:t>o</m:t>
        </m:r>
        <m:r>
          <m:t>m</m:t>
        </m:r>
        <m:r>
          <m:t>m</m:t>
        </m:r>
        <m:r>
          <m:t>e</m:t>
        </m:r>
        <m:r>
          <m:t>r</m:t>
        </m:r>
        <m:r>
          <m:t>c</m:t>
        </m:r>
        <m:r>
          <m:t>i</m:t>
        </m:r>
        <m:r>
          <m:t>a</m:t>
        </m:r>
        <m:r>
          <m:t>l</m:t>
        </m:r>
        <m:r>
          <m:t>a</m:t>
        </m:r>
        <m:r>
          <m:t>i</m:t>
        </m:r>
        <m:r>
          <m:t>r</m:t>
        </m:r>
        <m:r>
          <m:t>c</m:t>
        </m:r>
        <m:r>
          <m:t>r</m:t>
        </m:r>
        <m:r>
          <m:t>a</m:t>
        </m:r>
        <m:r>
          <m:t>f</m:t>
        </m:r>
        <m:r>
          <m:t>t</m:t>
        </m:r>
        <m:r>
          <m:t>d</m:t>
        </m:r>
        <m:r>
          <m:t>e</m:t>
        </m:r>
        <m:r>
          <m:t>l</m:t>
        </m:r>
        <m:r>
          <m:t>i</m:t>
        </m:r>
        <m:r>
          <m:t>v</m:t>
        </m:r>
        <m:r>
          <m:t>e</m:t>
        </m:r>
        <m:r>
          <m:t>r</m:t>
        </m:r>
        <m:r>
          <m:t>i</m:t>
        </m:r>
        <m:r>
          <m:t>e</m:t>
        </m:r>
        <m:r>
          <m:t>s</m:t>
        </m:r>
        <m:r>
          <m:rPr>
            <m:sty m:val="p"/>
          </m:rPr>
          <m:t>*</m:t>
        </m:r>
        <m:r>
          <m:rPr>
            <m:sty m:val="p"/>
          </m:rPr>
          <m:t>*</m:t>
        </m:r>
        <m:r>
          <m:rPr>
            <m:sty m:val="p"/>
          </m:rPr>
          <m:t>.</m:t>
        </m:r>
        <m:r>
          <m:t>C</m:t>
        </m:r>
        <m:r>
          <m:t>o</m:t>
        </m:r>
        <m:r>
          <m:t>r</m:t>
        </m:r>
        <m:r>
          <m:t>e</m:t>
        </m:r>
        <m:r>
          <m:t>l</m:t>
        </m:r>
        <m:r>
          <m:t>o</m:t>
        </m:r>
        <m:r>
          <m:t>s</m:t>
        </m:r>
        <m:r>
          <m:t>s</m:t>
        </m:r>
        <m:r>
          <m:t>p</m:t>
        </m:r>
        <m:r>
          <m:t>e</m:t>
        </m:r>
        <m:r>
          <m:t>r</m:t>
        </m:r>
        <m:r>
          <m:t>s</m:t>
        </m:r>
        <m:r>
          <m:t>h</m:t>
        </m:r>
        <m:r>
          <m:t>a</m:t>
        </m:r>
        <m:r>
          <m:t>r</m:t>
        </m:r>
        <m:r>
          <m:t>e</m:t>
        </m:r>
        <m:r>
          <m:t>i</m:t>
        </m:r>
        <m:r>
          <m:t>m</m:t>
        </m:r>
        <m:r>
          <m:t>p</m:t>
        </m:r>
        <m:r>
          <m:t>r</m:t>
        </m:r>
        <m:r>
          <m:t>o</m:t>
        </m:r>
        <m:r>
          <m:t>v</m:t>
        </m:r>
        <m:r>
          <m:t>e</m:t>
        </m:r>
        <m:r>
          <m:t>d</m:t>
        </m:r>
        <m:r>
          <m:t>t</m:t>
        </m:r>
        <m:r>
          <m:t>o</m:t>
        </m:r>
        <m:r>
          <m:rPr>
            <m:sty m:val="p"/>
          </m:rPr>
          <m:t>*</m:t>
        </m:r>
        <m:r>
          <m:rPr>
            <m:sty m:val="p"/>
          </m:rPr>
          <m:t>*</m:t>
        </m:r>
      </m:oMath>
      <w:r>
        <w:rPr>
          <w:b/>
          <w:bCs/>
        </w:rPr>
        <w:t xml:space="preserve">0.20</w:t>
      </w:r>
      <w:r>
        <w:t xml:space="preserve">, and free cash flow usage narrowed to</w:t>
      </w:r>
      <w:r>
        <w:t xml:space="preserve"> </w:t>
      </w:r>
      <w:r>
        <w:rPr>
          <w:b/>
          <w:bCs/>
        </w:rPr>
        <w:t xml:space="preserve">$1.5 billion</w:t>
      </w:r>
      <w:r>
        <w:t xml:space="preserve">, versus a $2.3 billion use a year earlier.</w:t>
      </w:r>
    </w:p>
    <w:p>
      <w:pPr>
        <w:pStyle w:val="BodyText"/>
      </w:pPr>
      <w:r>
        <w:t xml:space="preserve">The quarter also showed why investors are willing to underwrite a recovery:</w:t>
      </w:r>
    </w:p>
    <w:p>
      <w:pPr>
        <w:pStyle w:val="Compact"/>
        <w:numPr>
          <w:ilvl w:val="0"/>
          <w:numId w:val="1001"/>
        </w:numPr>
      </w:pPr>
      <w:r>
        <w:t xml:space="preserve">Commercial deliveries increased, including</w:t>
      </w:r>
      <w:r>
        <w:t xml:space="preserve"> </w:t>
      </w:r>
      <w:r>
        <w:rPr>
          <w:b/>
          <w:bCs/>
        </w:rPr>
        <w:t xml:space="preserve">114 737s</w:t>
      </w:r>
      <w:r>
        <w:t xml:space="preserve"> </w:t>
      </w:r>
      <w:r>
        <w:t xml:space="preserve">and</w:t>
      </w:r>
      <w:r>
        <w:t xml:space="preserve"> </w:t>
      </w:r>
      <w:r>
        <w:rPr>
          <w:b/>
          <w:bCs/>
        </w:rPr>
        <w:t xml:space="preserve">15 787s</w:t>
      </w:r>
      <w:r>
        <w:t xml:space="preserve">.</w:t>
      </w:r>
    </w:p>
    <w:p>
      <w:pPr>
        <w:pStyle w:val="Compact"/>
        <w:numPr>
          <w:ilvl w:val="0"/>
          <w:numId w:val="1001"/>
        </w:numPr>
      </w:pPr>
      <w:r>
        <w:t xml:space="preserve">Boeing held the 737 production rate at</w:t>
      </w:r>
      <w:r>
        <w:t xml:space="preserve"> </w:t>
      </w:r>
      <w:r>
        <w:rPr>
          <w:b/>
          <w:bCs/>
        </w:rPr>
        <w:t xml:space="preserve">42 per month</w:t>
      </w:r>
      <w:r>
        <w:t xml:space="preserve"> </w:t>
      </w:r>
      <w:r>
        <w:t xml:space="preserve">and said it expected to reach</w:t>
      </w:r>
      <w:r>
        <w:t xml:space="preserve"> </w:t>
      </w:r>
      <w:r>
        <w:rPr>
          <w:b/>
          <w:bCs/>
        </w:rPr>
        <w:t xml:space="preserve">47 per month during the summer</w:t>
      </w:r>
      <w:r>
        <w:t xml:space="preserve">.</w:t>
      </w:r>
    </w:p>
    <w:p>
      <w:pPr>
        <w:pStyle w:val="Compact"/>
        <w:numPr>
          <w:ilvl w:val="0"/>
          <w:numId w:val="1001"/>
        </w:numPr>
      </w:pPr>
      <w:r>
        <w:t xml:space="preserve">787 production was stable at</w:t>
      </w:r>
      <w:r>
        <w:t xml:space="preserve"> </w:t>
      </w:r>
      <w:r>
        <w:rPr>
          <w:b/>
          <w:bCs/>
        </w:rPr>
        <w:t xml:space="preserve">eight per month</w:t>
      </w:r>
      <w:r>
        <w:t xml:space="preserve">, with a targeted increase to</w:t>
      </w:r>
      <w:r>
        <w:t xml:space="preserve"> </w:t>
      </w:r>
      <w:r>
        <w:rPr>
          <w:b/>
          <w:bCs/>
        </w:rPr>
        <w:t xml:space="preserve">10 per month</w:t>
      </w:r>
      <w:r>
        <w:t xml:space="preserve"> </w:t>
      </w:r>
      <w:r>
        <w:t xml:space="preserve">later in 2026.</w:t>
      </w:r>
    </w:p>
    <w:p>
      <w:pPr>
        <w:pStyle w:val="Compact"/>
        <w:numPr>
          <w:ilvl w:val="0"/>
          <w:numId w:val="1001"/>
        </w:numPr>
      </w:pPr>
      <w:r>
        <w:t xml:space="preserve">Defense, Space &amp; Security revenue rose 21% year over year and operating margin improved to 3.1%.</w:t>
      </w:r>
    </w:p>
    <w:p>
      <w:pPr>
        <w:pStyle w:val="Compact"/>
        <w:numPr>
          <w:ilvl w:val="0"/>
          <w:numId w:val="1001"/>
        </w:numPr>
      </w:pPr>
      <w:r>
        <w:t xml:space="preserve">Total backlog reached a record</w:t>
      </w:r>
      <w:r>
        <w:t xml:space="preserve"> </w:t>
      </w:r>
      <w:r>
        <w:rPr>
          <w:b/>
          <w:bCs/>
        </w:rPr>
        <w:t xml:space="preserve">$695 billion</w:t>
      </w:r>
      <w:r>
        <w:t xml:space="preserve">, including more than</w:t>
      </w:r>
      <w:r>
        <w:t xml:space="preserve"> </w:t>
      </w:r>
      <w:r>
        <w:rPr>
          <w:b/>
          <w:bCs/>
        </w:rPr>
        <w:t xml:space="preserve">6,100 commercial aircraft</w:t>
      </w:r>
      <w:r>
        <w:t xml:space="preserve"> </w:t>
      </w:r>
      <w:r>
        <w:t xml:space="preserve">and record backlog in all three operating segments.</w:t>
      </w:r>
    </w:p>
    <w:p>
      <w:pPr>
        <w:pStyle w:val="Compact"/>
        <w:numPr>
          <w:ilvl w:val="0"/>
          <w:numId w:val="1001"/>
        </w:numPr>
      </w:pPr>
      <w:r>
        <w:t xml:space="preserve">Boeing ended 1Q with</w:t>
      </w:r>
      <w:r>
        <w:t xml:space="preserve"> </w:t>
      </w:r>
      <m:oMath>
        <m:r>
          <m:t>20.9</m:t>
        </m:r>
        <m:r>
          <m:t>b</m:t>
        </m:r>
        <m:r>
          <m:t>i</m:t>
        </m:r>
        <m:r>
          <m:t>l</m:t>
        </m:r>
        <m:r>
          <m:t>l</m:t>
        </m:r>
        <m:r>
          <m:t>i</m:t>
        </m:r>
        <m:r>
          <m:t>o</m:t>
        </m:r>
        <m:r>
          <m:t>n</m:t>
        </m:r>
        <m:r>
          <m:rPr>
            <m:sty m:val="p"/>
          </m:rPr>
          <m:t>*</m:t>
        </m:r>
        <m:r>
          <m:rPr>
            <m:sty m:val="p"/>
          </m:rPr>
          <m:t>*</m:t>
        </m:r>
        <m:r>
          <m:t>o</m:t>
        </m:r>
        <m:r>
          <m:t>f</m:t>
        </m:r>
        <m:r>
          <m:t>c</m:t>
        </m:r>
        <m:r>
          <m:t>a</m:t>
        </m:r>
        <m:r>
          <m:t>s</m:t>
        </m:r>
        <m:r>
          <m:t>h</m:t>
        </m:r>
        <m:r>
          <m:t>a</m:t>
        </m:r>
        <m:r>
          <m:t>n</m:t>
        </m:r>
        <m:r>
          <m:t>d</m:t>
        </m:r>
        <m:r>
          <m:t>m</m:t>
        </m:r>
        <m:r>
          <m:t>a</m:t>
        </m:r>
        <m:r>
          <m:t>r</m:t>
        </m:r>
        <m:r>
          <m:t>k</m:t>
        </m:r>
        <m:r>
          <m:t>e</m:t>
        </m:r>
        <m:r>
          <m:t>t</m:t>
        </m:r>
        <m:r>
          <m:t>a</m:t>
        </m:r>
        <m:r>
          <m:t>b</m:t>
        </m:r>
        <m:r>
          <m:t>l</m:t>
        </m:r>
        <m:r>
          <m:t>e</m:t>
        </m:r>
        <m:r>
          <m:t>s</m:t>
        </m:r>
        <m:r>
          <m:t>e</m:t>
        </m:r>
        <m:r>
          <m:t>c</m:t>
        </m:r>
        <m:r>
          <m:t>u</m:t>
        </m:r>
        <m:r>
          <m:t>r</m:t>
        </m:r>
        <m:r>
          <m:t>i</m:t>
        </m:r>
        <m:r>
          <m:t>t</m:t>
        </m:r>
        <m:r>
          <m:t>i</m:t>
        </m:r>
        <m:r>
          <m:t>e</m:t>
        </m:r>
        <m:r>
          <m:t>s</m:t>
        </m:r>
        <m:r>
          <m:t>a</m:t>
        </m:r>
        <m:r>
          <m:t>n</m:t>
        </m:r>
        <m:r>
          <m:t>d</m:t>
        </m:r>
        <m:r>
          <m:rPr>
            <m:sty m:val="p"/>
          </m:rPr>
          <m:t>*</m:t>
        </m:r>
        <m:r>
          <m:rPr>
            <m:sty m:val="p"/>
          </m:rPr>
          <m:t>*</m:t>
        </m:r>
      </m:oMath>
      <w:r>
        <w:rPr>
          <w:b/>
          <w:bCs/>
        </w:rPr>
        <w:t xml:space="preserve">47.2 billion</w:t>
      </w:r>
      <w:r>
        <w:t xml:space="preserve"> </w:t>
      </w:r>
      <w:r>
        <w:t xml:space="preserve">of debt after repaying $6.9 billion of maturities.</w:t>
      </w:r>
    </w:p>
    <w:p>
      <w:pPr>
        <w:pStyle w:val="FirstParagraph"/>
      </w:pPr>
      <w:r>
        <w:t xml:space="preserve">The stock, however, is no longer priced for a purely distressed outcome. BA closed at</w:t>
      </w:r>
      <w:r>
        <w:t xml:space="preserve"> </w:t>
      </w:r>
      <m:oMath>
        <m:r>
          <m:t>211.54</m:t>
        </m:r>
        <m:r>
          <m:t>o</m:t>
        </m:r>
        <m:r>
          <m:t>n</m:t>
        </m:r>
        <m:r>
          <m:t>J</m:t>
        </m:r>
        <m:r>
          <m:t>u</m:t>
        </m:r>
        <m:r>
          <m:t>l</m:t>
        </m:r>
        <m:r>
          <m:t>y</m:t>
        </m:r>
        <m:r>
          <m:t>27</m:t>
        </m:r>
        <m:r>
          <m:rPr>
            <m:sty m:val="p"/>
          </m:rPr>
          <m:t>*</m:t>
        </m:r>
        <m:r>
          <m:rPr>
            <m:sty m:val="p"/>
          </m:rPr>
          <m:t>*</m:t>
        </m:r>
        <m:r>
          <m:rPr>
            <m:sty m:val="p"/>
          </m:rPr>
          <m:t>,</m:t>
        </m:r>
        <m:r>
          <m:t>c</m:t>
        </m:r>
        <m:r>
          <m:t>o</m:t>
        </m:r>
        <m:r>
          <m:t>m</m:t>
        </m:r>
        <m:r>
          <m:t>p</m:t>
        </m:r>
        <m:r>
          <m:t>a</m:t>
        </m:r>
        <m:r>
          <m:t>r</m:t>
        </m:r>
        <m:r>
          <m:t>e</m:t>
        </m:r>
        <m:r>
          <m:t>d</m:t>
        </m:r>
        <m:r>
          <m:t>w</m:t>
        </m:r>
        <m:r>
          <m:t>i</m:t>
        </m:r>
        <m:r>
          <m:t>t</m:t>
        </m:r>
        <m:r>
          <m:t>h</m:t>
        </m:r>
        <m:r>
          <m:rPr>
            <m:sty m:val="p"/>
          </m:rPr>
          <m:t>*</m:t>
        </m:r>
        <m:r>
          <m:rPr>
            <m:sty m:val="p"/>
          </m:rPr>
          <m:t>*</m:t>
        </m:r>
      </m:oMath>
      <w:r>
        <w:rPr>
          <w:b/>
          <w:bCs/>
        </w:rPr>
        <w:t xml:space="preserve">217.12 at year-end 2025</w:t>
      </w:r>
      <w:r>
        <w:t xml:space="preserve"> </w:t>
      </w:r>
      <w:r>
        <w:t xml:space="preserve">and a 2026 closing high of</w:t>
      </w:r>
      <w:r>
        <w:t xml:space="preserve"> </w:t>
      </w:r>
      <w:r>
        <w:rPr>
          <w:b/>
          <w:bCs/>
        </w:rPr>
        <w:t xml:space="preserve">$252.15</w:t>
      </w:r>
      <w:r>
        <w:t xml:space="preserve">. Investors have already seen the broad outline of the turnaround; the burden is now on Boeing to show that the production and cash-flow ramp is holding. The July 27 close was about 16% below its 2026 closing high.</w:t>
      </w:r>
    </w:p>
    <w:p>
      <w:r>
        <w:pict>
          <v:rect style="width:0;height:1.5pt" o:hralign="center" o:hrstd="t" o:hr="t"/>
        </w:pict>
      </w:r>
    </w:p>
    <w:bookmarkEnd w:id="11"/>
    <w:bookmarkStart w:id="15" w:name="X4fdc7c569410a5ba89ab417b62936f2a3c7f52f"/>
    <w:p>
      <w:pPr>
        <w:pStyle w:val="Heading2"/>
      </w:pPr>
      <w:r>
        <w:t xml:space="preserve">1. Commercial Airplanes: the report will be about rates, not just deliveries</w:t>
      </w:r>
    </w:p>
    <w:bookmarkStart w:id="12" w:name="Xa2cf6e661d7a99b4a4502ee08c70a84f7b308b8"/>
    <w:p>
      <w:pPr>
        <w:pStyle w:val="Heading3"/>
      </w:pPr>
      <w:r>
        <w:t xml:space="preserve">737: rate 47 is the near-term proof point</w:t>
      </w:r>
    </w:p>
    <w:p>
      <w:pPr>
        <w:pStyle w:val="FirstParagraph"/>
      </w:pPr>
      <w:r>
        <w:t xml:space="preserve">In 1Q, Boeing delivered 114 737s and said the factory had stabilized at 42 aircraft per month. It also stated that a wiring nonconformance affected 25 aircraft, but that all had been reworked and that the issue would not change the full-year delivery plan.</w:t>
      </w:r>
    </w:p>
    <w:p>
      <w:pPr>
        <w:pStyle w:val="BodyText"/>
      </w:pPr>
      <w:r>
        <w:t xml:space="preserve">The critical next step is the transition to</w:t>
      </w:r>
      <w:r>
        <w:t xml:space="preserve"> </w:t>
      </w:r>
      <w:r>
        <w:rPr>
          <w:b/>
          <w:bCs/>
        </w:rPr>
        <w:t xml:space="preserve">47/month</w:t>
      </w:r>
      <w:r>
        <w:t xml:space="preserve">. Management has recently indicated that the rate has reached 47, while longer-term aspirations extend beyond that level. The question for investors is whether the increase is being achieved with:</w:t>
      </w:r>
    </w:p>
    <w:p>
      <w:pPr>
        <w:pStyle w:val="Compact"/>
        <w:numPr>
          <w:ilvl w:val="0"/>
          <w:numId w:val="1002"/>
        </w:numPr>
      </w:pPr>
      <w:r>
        <w:rPr>
          <w:b/>
          <w:bCs/>
        </w:rPr>
        <w:t xml:space="preserve">Stable quality and rework metrics</w:t>
      </w:r>
    </w:p>
    <w:p>
      <w:pPr>
        <w:pStyle w:val="Compact"/>
        <w:numPr>
          <w:ilvl w:val="0"/>
          <w:numId w:val="1002"/>
        </w:numPr>
      </w:pPr>
      <w:r>
        <w:rPr>
          <w:b/>
          <w:bCs/>
        </w:rPr>
        <w:t xml:space="preserve">Adequate supplier performance</w:t>
      </w:r>
      <w:r>
        <w:t xml:space="preserve">, including the recently integrated Spirit AeroSystems operations</w:t>
      </w:r>
    </w:p>
    <w:p>
      <w:pPr>
        <w:pStyle w:val="Compact"/>
        <w:numPr>
          <w:ilvl w:val="0"/>
          <w:numId w:val="1002"/>
        </w:numPr>
      </w:pPr>
      <w:r>
        <w:rPr>
          <w:b/>
          <w:bCs/>
        </w:rPr>
        <w:t xml:space="preserve">Enough inventory buffer</w:t>
      </w:r>
      <w:r>
        <w:t xml:space="preserve"> </w:t>
      </w:r>
      <w:r>
        <w:t xml:space="preserve">to protect deliveries during the transition</w:t>
      </w:r>
    </w:p>
    <w:p>
      <w:pPr>
        <w:pStyle w:val="Compact"/>
        <w:numPr>
          <w:ilvl w:val="0"/>
          <w:numId w:val="1002"/>
        </w:numPr>
      </w:pPr>
      <w:r>
        <w:rPr>
          <w:b/>
          <w:bCs/>
        </w:rPr>
        <w:t xml:space="preserve">No regulatory pushback</w:t>
      </w:r>
      <w:r>
        <w:t xml:space="preserve"> </w:t>
      </w:r>
      <w:r>
        <w:t xml:space="preserve">as production rises</w:t>
      </w:r>
    </w:p>
    <w:p>
      <w:pPr>
        <w:pStyle w:val="FirstParagraph"/>
      </w:pPr>
      <w:r>
        <w:t xml:space="preserve">A reiteration of the</w:t>
      </w:r>
      <w:r>
        <w:t xml:space="preserve"> </w:t>
      </w:r>
      <w:r>
        <w:rPr>
          <w:b/>
          <w:bCs/>
        </w:rPr>
        <w:t xml:space="preserve">500-aircraft full-year delivery goal</w:t>
      </w:r>
      <w:r>
        <w:t xml:space="preserve"> </w:t>
      </w:r>
      <w:r>
        <w:t xml:space="preserve">would be constructive. A reduction would be damaging because it would signal that Boeing’s recovery remains constrained by the industrial system rather than demand.</w:t>
      </w:r>
    </w:p>
    <w:bookmarkEnd w:id="12"/>
    <w:bookmarkStart w:id="13" w:name="X736a50317947ca6b1aa1294e88f0556137955cd"/>
    <w:p>
      <w:pPr>
        <w:pStyle w:val="Heading3"/>
      </w:pPr>
      <w:r>
        <w:t xml:space="preserve">737 MAX 7 and MAX 10: the most important near-term catalyst</w:t>
      </w:r>
    </w:p>
    <w:p>
      <w:pPr>
        <w:pStyle w:val="FirstParagraph"/>
      </w:pPr>
      <w:r>
        <w:t xml:space="preserve">The anti-ice-system redesign remains the key gating item for certification of the MAX 7 and MAX 10. Recent reporting indicated that the MAX 10 was approximately</w:t>
      </w:r>
      <w:r>
        <w:t xml:space="preserve"> </w:t>
      </w:r>
      <w:r>
        <w:rPr>
          <w:b/>
          <w:bCs/>
        </w:rPr>
        <w:t xml:space="preserve">98% through certification flight testing</w:t>
      </w:r>
      <w:r>
        <w:t xml:space="preserve">, and that Boeing had only two test flights remaining. The FAA has also signaled that the MAX 7 could be certified soon, followed by the MAX 10.</w:t>
      </w:r>
    </w:p>
    <w:p>
      <w:pPr>
        <w:pStyle w:val="BodyText"/>
      </w:pPr>
      <w:r>
        <w:t xml:space="preserve">This matters disproportionately:</w:t>
      </w:r>
    </w:p>
    <w:p>
      <w:pPr>
        <w:pStyle w:val="Compact"/>
        <w:numPr>
          <w:ilvl w:val="0"/>
          <w:numId w:val="1003"/>
        </w:numPr>
      </w:pPr>
      <w:r>
        <w:t xml:space="preserve">The MAX 10 is Boeing’s key answer to Airbus’s larger A321neo-family aircraft.</w:t>
      </w:r>
    </w:p>
    <w:p>
      <w:pPr>
        <w:pStyle w:val="Compact"/>
        <w:numPr>
          <w:ilvl w:val="0"/>
          <w:numId w:val="1003"/>
        </w:numPr>
      </w:pPr>
      <w:r>
        <w:t xml:space="preserve">The MAX 10 represents at least</w:t>
      </w:r>
      <w:r>
        <w:t xml:space="preserve"> </w:t>
      </w:r>
      <w:r>
        <w:rPr>
          <w:b/>
          <w:bCs/>
        </w:rPr>
        <w:t xml:space="preserve">28% of the outstanding MAX order book</w:t>
      </w:r>
      <w:r>
        <w:t xml:space="preserve">, according to recent reporting.</w:t>
      </w:r>
    </w:p>
    <w:p>
      <w:pPr>
        <w:pStyle w:val="Compact"/>
        <w:numPr>
          <w:ilvl w:val="0"/>
          <w:numId w:val="1003"/>
        </w:numPr>
      </w:pPr>
      <w:r>
        <w:t xml:space="preserve">Boeing has already built roughly</w:t>
      </w:r>
      <w:r>
        <w:t xml:space="preserve"> </w:t>
      </w:r>
      <w:r>
        <w:rPr>
          <w:b/>
          <w:bCs/>
        </w:rPr>
        <w:t xml:space="preserve">30 MAX 7s</w:t>
      </w:r>
      <w:r>
        <w:t xml:space="preserve"> </w:t>
      </w:r>
      <w:r>
        <w:t xml:space="preserve">and</w:t>
      </w:r>
      <w:r>
        <w:t xml:space="preserve"> </w:t>
      </w:r>
      <w:r>
        <w:rPr>
          <w:b/>
          <w:bCs/>
        </w:rPr>
        <w:t xml:space="preserve">nine MAX 10s</w:t>
      </w:r>
      <w:r>
        <w:t xml:space="preserve"> </w:t>
      </w:r>
      <w:r>
        <w:t xml:space="preserve">awaiting delivery.</w:t>
      </w:r>
    </w:p>
    <w:p>
      <w:pPr>
        <w:pStyle w:val="Compact"/>
        <w:numPr>
          <w:ilvl w:val="0"/>
          <w:numId w:val="1003"/>
        </w:numPr>
      </w:pPr>
      <w:r>
        <w:t xml:space="preserve">Certification would begin to convert parked inventory into future deliveries and cash, although Boeing still expects first deliveries in</w:t>
      </w:r>
      <w:r>
        <w:t xml:space="preserve"> </w:t>
      </w:r>
      <w:r>
        <w:rPr>
          <w:b/>
          <w:bCs/>
        </w:rPr>
        <w:t xml:space="preserve">2027</w:t>
      </w:r>
      <w:r>
        <w:t xml:space="preserve">.</w:t>
      </w:r>
    </w:p>
    <w:p>
      <w:pPr>
        <w:pStyle w:val="FirstParagraph"/>
      </w:pPr>
      <w:r>
        <w:t xml:space="preserve">A credible certification update could be the largest positive surprise in the report. Conversely, vague language, a changed certification target, or evidence that the FAA process is extending would likely outweigh an otherwise solid quarter.</w:t>
      </w:r>
    </w:p>
    <w:bookmarkEnd w:id="13"/>
    <w:bookmarkStart w:id="14" w:name="Xa99b3973b761e711f82b985cb0627d2bc63a0a2"/>
    <w:p>
      <w:pPr>
        <w:pStyle w:val="Heading3"/>
      </w:pPr>
      <w:r>
        <w:t xml:space="preserve">787: delivery timing and engines are the swing factors</w:t>
      </w:r>
    </w:p>
    <w:p>
      <w:pPr>
        <w:pStyle w:val="FirstParagraph"/>
      </w:pPr>
      <w:r>
        <w:t xml:space="preserve">The 787 factory appears to be improving operationally, but deliveries have been hindered by premium-seat certification timing and GEnx engine supply. Boeing maintained its goal of delivering</w:t>
      </w:r>
      <w:r>
        <w:t xml:space="preserve"> </w:t>
      </w:r>
      <w:r>
        <w:rPr>
          <w:b/>
          <w:bCs/>
        </w:rPr>
        <w:t xml:space="preserve">90–100 787s</w:t>
      </w:r>
      <w:r>
        <w:t xml:space="preserve"> </w:t>
      </w:r>
      <w:r>
        <w:t xml:space="preserve">in 2026 and raising the production rate from eight to 10 per month later in the year.</w:t>
      </w:r>
    </w:p>
    <w:p>
      <w:pPr>
        <w:pStyle w:val="BodyText"/>
      </w:pPr>
      <w:r>
        <w:t xml:space="preserve">For 2Q, investors should focus on whether Boeing can distinguish between:</w:t>
      </w:r>
    </w:p>
    <w:p>
      <w:pPr>
        <w:pStyle w:val="Compact"/>
        <w:numPr>
          <w:ilvl w:val="0"/>
          <w:numId w:val="1004"/>
        </w:numPr>
      </w:pPr>
      <w:r>
        <w:rPr>
          <w:b/>
          <w:bCs/>
        </w:rPr>
        <w:t xml:space="preserve">Factory execution</w:t>
      </w:r>
      <w:r>
        <w:t xml:space="preserve"> </w:t>
      </w:r>
      <w:r>
        <w:t xml:space="preserve">— reportedly improving, including lower rework hours; and</w:t>
      </w:r>
    </w:p>
    <w:p>
      <w:pPr>
        <w:pStyle w:val="Compact"/>
        <w:numPr>
          <w:ilvl w:val="0"/>
          <w:numId w:val="1004"/>
        </w:numPr>
      </w:pPr>
      <w:r>
        <w:rPr>
          <w:b/>
          <w:bCs/>
        </w:rPr>
        <w:t xml:space="preserve">External constraints</w:t>
      </w:r>
      <w:r>
        <w:t xml:space="preserve"> </w:t>
      </w:r>
      <w:r>
        <w:t xml:space="preserve">— seats, engines, and other supplier bottlenecks that can delay delivery even when airplanes are complete.</w:t>
      </w:r>
    </w:p>
    <w:p>
      <w:pPr>
        <w:pStyle w:val="FirstParagraph"/>
      </w:pPr>
      <w:r>
        <w:t xml:space="preserve">The positive readthrough is that GE Aerospace has said it has several months of GEnx engine inventory at Boeing’s Charleston facility. Still, Boeing needs to show that engine and interior certification issues are no longer pushing deliveries to the right.</w:t>
      </w:r>
    </w:p>
    <w:p>
      <w:r>
        <w:pict>
          <v:rect style="width:0;height:1.5pt" o:hralign="center" o:hrstd="t" o:hr="t"/>
        </w:pict>
      </w:r>
    </w:p>
    <w:bookmarkEnd w:id="14"/>
    <w:bookmarkEnd w:id="15"/>
    <w:bookmarkStart w:id="16" w:name="X3508f029056b12c89e2bec20531f450e997da27"/>
    <w:p>
      <w:pPr>
        <w:pStyle w:val="Heading2"/>
      </w:pPr>
      <w:r>
        <w:t xml:space="preserve">2. Free cash flow: do not overreact to a modest 2Q outflow</w:t>
      </w:r>
    </w:p>
    <w:p>
      <w:pPr>
        <w:pStyle w:val="FirstParagraph"/>
      </w:pPr>
      <w:r>
        <w:t xml:space="preserve">Free cash flow is Boeing’s most important financial KPI, but quarterly seasonality will matter. Management previously guided to:</w:t>
      </w:r>
    </w:p>
    <w:p>
      <w:pPr>
        <w:pStyle w:val="Compact"/>
        <w:numPr>
          <w:ilvl w:val="0"/>
          <w:numId w:val="1005"/>
        </w:numPr>
      </w:pPr>
      <m:oMath>
        <m:r>
          <m:t>1</m:t>
        </m:r>
        <m:r>
          <m:t>b</m:t>
        </m:r>
        <m:r>
          <m:t>i</m:t>
        </m:r>
        <m:r>
          <m:t>l</m:t>
        </m:r>
        <m:r>
          <m:t>l</m:t>
        </m:r>
        <m:r>
          <m:t>i</m:t>
        </m:r>
        <m:r>
          <m:t>o</m:t>
        </m:r>
        <m:r>
          <m:t>n</m:t>
        </m:r>
        <m:r>
          <m:rPr>
            <m:sty m:val="p"/>
          </m:rPr>
          <m:t>–</m:t>
        </m:r>
      </m:oMath>
      <w:r>
        <w:rPr>
          <w:b/>
          <w:bCs/>
        </w:rPr>
        <w:t xml:space="preserve">3 billion of positive full-year 2026 free cash flow</w:t>
      </w:r>
    </w:p>
    <w:p>
      <w:pPr>
        <w:pStyle w:val="Compact"/>
        <w:numPr>
          <w:ilvl w:val="0"/>
          <w:numId w:val="1005"/>
        </w:numPr>
      </w:pPr>
      <w:r>
        <w:t xml:space="preserve">A</w:t>
      </w:r>
      <w:r>
        <w:t xml:space="preserve"> </w:t>
      </w:r>
      <w:r>
        <w:rPr>
          <w:b/>
          <w:bCs/>
        </w:rPr>
        <w:t xml:space="preserve">low-hundreds-of-millions</w:t>
      </w:r>
      <w:r>
        <w:t xml:space="preserve"> </w:t>
      </w:r>
      <w:r>
        <w:t xml:space="preserve">free-cash outflow in 2Q</w:t>
      </w:r>
    </w:p>
    <w:p>
      <w:pPr>
        <w:pStyle w:val="Compact"/>
        <w:numPr>
          <w:ilvl w:val="0"/>
          <w:numId w:val="1005"/>
        </w:numPr>
      </w:pPr>
      <w:r>
        <w:t xml:space="preserve">A more meaningful turn positive in the second half, supported by higher commercial deliveries and customer payments</w:t>
      </w:r>
    </w:p>
    <w:p>
      <w:pPr>
        <w:pStyle w:val="FirstParagraph"/>
      </w:pPr>
      <w:r>
        <w:t xml:space="preserve">Accordingly, a modest 2Q cash outflow should not itself be viewed negatively if the company reaffirms the full-year guide and delivery plan.</w:t>
      </w:r>
    </w:p>
    <w:p>
      <w:pPr>
        <w:pStyle w:val="BodyText"/>
      </w:pPr>
      <w:r>
        <w:t xml:space="preserve">The more consequential concerns would be:</w:t>
      </w:r>
    </w:p>
    <w:p>
      <w:pPr>
        <w:pStyle w:val="Compact"/>
        <w:numPr>
          <w:ilvl w:val="0"/>
          <w:numId w:val="1006"/>
        </w:numPr>
      </w:pPr>
      <w:r>
        <w:t xml:space="preserve">A materially worse cash outflow without a clear timing explanation;</w:t>
      </w:r>
    </w:p>
    <w:p>
      <w:pPr>
        <w:pStyle w:val="Compact"/>
        <w:numPr>
          <w:ilvl w:val="0"/>
          <w:numId w:val="1006"/>
        </w:numPr>
      </w:pPr>
      <w:r>
        <w:t xml:space="preserve">Lower commercial-delivery guidance;</w:t>
      </w:r>
    </w:p>
    <w:p>
      <w:pPr>
        <w:pStyle w:val="Compact"/>
        <w:numPr>
          <w:ilvl w:val="0"/>
          <w:numId w:val="1006"/>
        </w:numPr>
      </w:pPr>
      <w:r>
        <w:t xml:space="preserve">Higher working-capital consumption;</w:t>
      </w:r>
    </w:p>
    <w:p>
      <w:pPr>
        <w:pStyle w:val="Compact"/>
        <w:numPr>
          <w:ilvl w:val="0"/>
          <w:numId w:val="1006"/>
        </w:numPr>
      </w:pPr>
      <w:r>
        <w:t xml:space="preserve">New supplier-support requirements;</w:t>
      </w:r>
    </w:p>
    <w:p>
      <w:pPr>
        <w:pStyle w:val="Compact"/>
        <w:numPr>
          <w:ilvl w:val="0"/>
          <w:numId w:val="1006"/>
        </w:numPr>
      </w:pPr>
      <w:r>
        <w:t xml:space="preserve">Evidence that Spirit AeroSystems integration is more cash-intensive than expected; or</w:t>
      </w:r>
    </w:p>
    <w:p>
      <w:pPr>
        <w:pStyle w:val="Compact"/>
        <w:numPr>
          <w:ilvl w:val="0"/>
          <w:numId w:val="1006"/>
        </w:numPr>
      </w:pPr>
      <w:r>
        <w:t xml:space="preserve">A larger-than-anticipated legal or regulatory cash obligation.</w:t>
      </w:r>
    </w:p>
    <w:p>
      <w:pPr>
        <w:pStyle w:val="FirstParagraph"/>
      </w:pPr>
      <w:r>
        <w:t xml:space="preserve">The recovery needs to become cash-real, not merely operationally visible. Boeing’s 1Q free cash flow was negative</w:t>
      </w:r>
      <w:r>
        <w:t xml:space="preserve"> </w:t>
      </w:r>
      <w:r>
        <w:rPr>
          <w:b/>
          <w:bCs/>
        </w:rPr>
        <w:t xml:space="preserve">$1.45 billion</w:t>
      </w:r>
      <w:r>
        <w:t xml:space="preserve">, so the second half must carry a substantial portion of the full-year recovery.</w:t>
      </w:r>
    </w:p>
    <w:p>
      <w:r>
        <w:pict>
          <v:rect style="width:0;height:1.5pt" o:hralign="center" o:hrstd="t" o:hr="t"/>
        </w:pict>
      </w:r>
    </w:p>
    <w:bookmarkEnd w:id="16"/>
    <w:bookmarkStart w:id="17" w:name="X97949063fd9cc88625303412d0db1934d8117f7"/>
    <w:p>
      <w:pPr>
        <w:pStyle w:val="Heading2"/>
      </w:pPr>
      <w:r>
        <w:t xml:space="preserve">3. Defense, Space &amp; Security: improving mix, but still an execution story</w:t>
      </w:r>
    </w:p>
    <w:p>
      <w:pPr>
        <w:pStyle w:val="FirstParagraph"/>
      </w:pPr>
      <w:r>
        <w:t xml:space="preserve">BDS is becoming more strategically important to the Boeing thesis. In 1Q, revenue rose 21% to</w:t>
      </w:r>
      <w:r>
        <w:t xml:space="preserve"> </w:t>
      </w:r>
      <m:oMath>
        <m:r>
          <m:t>7.6</m:t>
        </m:r>
        <m:r>
          <m:t>b</m:t>
        </m:r>
        <m:r>
          <m:t>i</m:t>
        </m:r>
        <m:r>
          <m:t>l</m:t>
        </m:r>
        <m:r>
          <m:t>l</m:t>
        </m:r>
        <m:r>
          <m:t>i</m:t>
        </m:r>
        <m:r>
          <m:t>o</m:t>
        </m:r>
        <m:r>
          <m:t>n</m:t>
        </m:r>
        <m:r>
          <m:rPr>
            <m:sty m:val="p"/>
          </m:rPr>
          <m:t>*</m:t>
        </m:r>
        <m:r>
          <m:rPr>
            <m:sty m:val="p"/>
          </m:rPr>
          <m:t>*</m:t>
        </m:r>
        <m:r>
          <m:rPr>
            <m:sty m:val="p"/>
          </m:rPr>
          <m:t>,</m:t>
        </m:r>
        <m:r>
          <m:t>o</m:t>
        </m:r>
        <m:r>
          <m:t>p</m:t>
        </m:r>
        <m:r>
          <m:t>e</m:t>
        </m:r>
        <m:r>
          <m:t>r</m:t>
        </m:r>
        <m:r>
          <m:t>a</m:t>
        </m:r>
        <m:r>
          <m:t>t</m:t>
        </m:r>
        <m:r>
          <m:t>i</m:t>
        </m:r>
        <m:r>
          <m:t>n</m:t>
        </m:r>
        <m:r>
          <m:t>g</m:t>
        </m:r>
        <m:r>
          <m:t>p</m:t>
        </m:r>
        <m:r>
          <m:t>r</m:t>
        </m:r>
        <m:r>
          <m:t>o</m:t>
        </m:r>
        <m:r>
          <m:t>f</m:t>
        </m:r>
        <m:r>
          <m:t>i</m:t>
        </m:r>
        <m:r>
          <m:t>t</m:t>
        </m:r>
        <m:r>
          <m:t>i</m:t>
        </m:r>
        <m:r>
          <m:t>n</m:t>
        </m:r>
        <m:r>
          <m:t>c</m:t>
        </m:r>
        <m:r>
          <m:t>r</m:t>
        </m:r>
        <m:r>
          <m:t>e</m:t>
        </m:r>
        <m:r>
          <m:t>a</m:t>
        </m:r>
        <m:r>
          <m:t>s</m:t>
        </m:r>
        <m:r>
          <m:t>e</m:t>
        </m:r>
        <m:r>
          <m:t>d</m:t>
        </m:r>
        <m:r>
          <m:t>50</m:t>
        </m:r>
      </m:oMath>
      <w:r>
        <w:rPr>
          <w:b/>
          <w:bCs/>
        </w:rPr>
        <w:t xml:space="preserve">233 million</w:t>
      </w:r>
      <w:r>
        <w:t xml:space="preserve">, and margin improved to</w:t>
      </w:r>
      <w:r>
        <w:t xml:space="preserve"> </w:t>
      </w:r>
      <w:r>
        <w:rPr>
          <w:b/>
          <w:bCs/>
        </w:rPr>
        <w:t xml:space="preserve">3.1%</w:t>
      </w:r>
      <w:r>
        <w:t xml:space="preserve">.</w:t>
      </w:r>
    </w:p>
    <w:p>
      <w:pPr>
        <w:pStyle w:val="BodyText"/>
      </w:pPr>
      <w:r>
        <w:t xml:space="preserve">The opportunity is clear:</w:t>
      </w:r>
    </w:p>
    <w:p>
      <w:pPr>
        <w:pStyle w:val="Compact"/>
        <w:numPr>
          <w:ilvl w:val="0"/>
          <w:numId w:val="1007"/>
        </w:numPr>
      </w:pPr>
      <w:r>
        <w:t xml:space="preserve">Higher global defense spending;</w:t>
      </w:r>
    </w:p>
    <w:p>
      <w:pPr>
        <w:pStyle w:val="Compact"/>
        <w:numPr>
          <w:ilvl w:val="0"/>
          <w:numId w:val="1007"/>
        </w:numPr>
      </w:pPr>
      <w:r>
        <w:t xml:space="preserve">Strong demand for missile and weapons systems, including PAC-3 seekers;</w:t>
      </w:r>
    </w:p>
    <w:p>
      <w:pPr>
        <w:pStyle w:val="Compact"/>
        <w:numPr>
          <w:ilvl w:val="0"/>
          <w:numId w:val="1007"/>
        </w:numPr>
      </w:pPr>
      <w:r>
        <w:t xml:space="preserve">Higher production opportunities for KC-46, F-15EX, P-8, and classified programs;</w:t>
      </w:r>
    </w:p>
    <w:p>
      <w:pPr>
        <w:pStyle w:val="Compact"/>
        <w:numPr>
          <w:ilvl w:val="0"/>
          <w:numId w:val="1007"/>
        </w:numPr>
      </w:pPr>
      <w:r>
        <w:t xml:space="preserve">A more favorable operational-tempo backdrop for sustainment and defense services.</w:t>
      </w:r>
    </w:p>
    <w:p>
      <w:pPr>
        <w:pStyle w:val="FirstParagraph"/>
      </w:pPr>
      <w:r>
        <w:t xml:space="preserve">But investors should remain disciplined about what “improvement” means. A 3% margin is still low for a large defense business. Boeing has characterized</w:t>
      </w:r>
      <w:r>
        <w:t xml:space="preserve"> </w:t>
      </w:r>
      <w:r>
        <w:rPr>
          <w:b/>
          <w:bCs/>
        </w:rPr>
        <w:t xml:space="preserve">high-single-digit margins</w:t>
      </w:r>
      <w:r>
        <w:t xml:space="preserve"> </w:t>
      </w:r>
      <w:r>
        <w:t xml:space="preserve">as the longer-term objective, with approximately</w:t>
      </w:r>
      <w:r>
        <w:t xml:space="preserve"> </w:t>
      </w:r>
      <w:r>
        <w:rPr>
          <w:b/>
          <w:bCs/>
        </w:rPr>
        <w:t xml:space="preserve">3.5%</w:t>
      </w:r>
      <w:r>
        <w:t xml:space="preserve"> </w:t>
      </w:r>
      <w:r>
        <w:t xml:space="preserve">indicated for 2026.</w:t>
      </w:r>
    </w:p>
    <w:p>
      <w:pPr>
        <w:pStyle w:val="BodyText"/>
      </w:pPr>
      <w:r>
        <w:t xml:space="preserve">The key earnings-call question:</w:t>
      </w:r>
      <w:r>
        <w:t xml:space="preserve"> </w:t>
      </w:r>
      <w:r>
        <w:rPr>
          <w:b/>
          <w:bCs/>
        </w:rPr>
        <w:t xml:space="preserve">Has Boeing improved its underwriting and program-management discipline enough that accelerating defense demand can drive profit rather than fresh fixed-price charges?</w:t>
      </w:r>
    </w:p>
    <w:p>
      <w:pPr>
        <w:pStyle w:val="BodyText"/>
      </w:pPr>
      <w:r>
        <w:t xml:space="preserve">No major estimate-at-completion charge would be an important positive. Any material charge on legacy development programs would quickly undermine confidence in the recovery.</w:t>
      </w:r>
    </w:p>
    <w:p>
      <w:r>
        <w:pict>
          <v:rect style="width:0;height:1.5pt" o:hralign="center" o:hrstd="t" o:hr="t"/>
        </w:pict>
      </w:r>
    </w:p>
    <w:bookmarkEnd w:id="17"/>
    <w:bookmarkStart w:id="18" w:name="Xbf7137dd145951a39227e2cb74a0af9054b21a7"/>
    <w:p>
      <w:pPr>
        <w:pStyle w:val="Heading2"/>
      </w:pPr>
      <w:r>
        <w:t xml:space="preserve">4. Global Services: the steady profit engine</w:t>
      </w:r>
    </w:p>
    <w:p>
      <w:pPr>
        <w:pStyle w:val="FirstParagraph"/>
      </w:pPr>
      <w:r>
        <w:t xml:space="preserve">Boeing Global Services remains the company’s most consistently profitable segment. In 1Q, it generated:</w:t>
      </w:r>
    </w:p>
    <w:p>
      <w:pPr>
        <w:pStyle w:val="Compact"/>
        <w:numPr>
          <w:ilvl w:val="0"/>
          <w:numId w:val="1008"/>
        </w:numPr>
      </w:pPr>
      <w:r>
        <w:rPr>
          <w:b/>
          <w:bCs/>
        </w:rPr>
        <w:t xml:space="preserve">$5.4 billion</w:t>
      </w:r>
      <w:r>
        <w:t xml:space="preserve"> </w:t>
      </w:r>
      <w:r>
        <w:t xml:space="preserve">of revenue;</w:t>
      </w:r>
    </w:p>
    <w:p>
      <w:pPr>
        <w:pStyle w:val="Compact"/>
        <w:numPr>
          <w:ilvl w:val="0"/>
          <w:numId w:val="1008"/>
        </w:numPr>
      </w:pPr>
      <w:r>
        <w:rPr>
          <w:b/>
          <w:bCs/>
        </w:rPr>
        <w:t xml:space="preserve">18.1%</w:t>
      </w:r>
      <w:r>
        <w:t xml:space="preserve"> </w:t>
      </w:r>
      <w:r>
        <w:t xml:space="preserve">operating margin; and</w:t>
      </w:r>
    </w:p>
    <w:p>
      <w:pPr>
        <w:pStyle w:val="Compact"/>
        <w:numPr>
          <w:ilvl w:val="0"/>
          <w:numId w:val="1008"/>
        </w:numPr>
      </w:pPr>
      <w:r>
        <w:t xml:space="preserve">A record</w:t>
      </w:r>
      <w:r>
        <w:t xml:space="preserve"> </w:t>
      </w:r>
      <w:r>
        <w:rPr>
          <w:b/>
          <w:bCs/>
        </w:rPr>
        <w:t xml:space="preserve">$33 billion</w:t>
      </w:r>
      <w:r>
        <w:t xml:space="preserve"> </w:t>
      </w:r>
      <w:r>
        <w:t xml:space="preserve">backlog.</w:t>
      </w:r>
    </w:p>
    <w:p>
      <w:pPr>
        <w:pStyle w:val="FirstParagraph"/>
      </w:pPr>
      <w:r>
        <w:t xml:space="preserve">The segment’s value lies in its recurring, capital-light, and higher-margin profile. The primary caveat is commercial flight-hour exposure: sustained geopolitical disruption, higher fuel prices, or airline stress could pressure aftermarket activity.</w:t>
      </w:r>
    </w:p>
    <w:p>
      <w:pPr>
        <w:pStyle w:val="BodyText"/>
      </w:pPr>
      <w:r>
        <w:t xml:space="preserve">For 2Q, investors should look for continued double-digit underlying revenue growth excluding the divested Digital Aviation Solutions business, stable commercial and government service margins, and sustained order momentum.</w:t>
      </w:r>
    </w:p>
    <w:p>
      <w:r>
        <w:pict>
          <v:rect style="width:0;height:1.5pt" o:hralign="center" o:hrstd="t" o:hr="t"/>
        </w:pict>
      </w:r>
    </w:p>
    <w:bookmarkEnd w:id="18"/>
    <w:bookmarkStart w:id="21" w:name="catalysts-and-risks"/>
    <w:p>
      <w:pPr>
        <w:pStyle w:val="Heading2"/>
      </w:pPr>
      <w:r>
        <w:t xml:space="preserve">Catalysts and risks</w:t>
      </w:r>
    </w:p>
    <w:bookmarkStart w:id="19" w:name="potential-upside-catalysts"/>
    <w:p>
      <w:pPr>
        <w:pStyle w:val="Heading3"/>
      </w:pPr>
      <w:r>
        <w:t xml:space="preserve">Potential upside catalysts</w:t>
      </w:r>
    </w:p>
    <w:p>
      <w:pPr>
        <w:pStyle w:val="Compact"/>
        <w:numPr>
          <w:ilvl w:val="0"/>
          <w:numId w:val="1009"/>
        </w:numPr>
      </w:pPr>
      <w:r>
        <w:rPr>
          <w:b/>
          <w:bCs/>
        </w:rPr>
        <w:t xml:space="preserve">Reaffirmed or improved commercial-delivery outlook</w:t>
      </w:r>
      <w:r>
        <w:t xml:space="preserve">, especially the 500-aircraft target for 2026.</w:t>
      </w:r>
    </w:p>
    <w:p>
      <w:pPr>
        <w:pStyle w:val="Compact"/>
        <w:numPr>
          <w:ilvl w:val="0"/>
          <w:numId w:val="1009"/>
        </w:numPr>
      </w:pPr>
      <w:r>
        <w:rPr>
          <w:b/>
          <w:bCs/>
        </w:rPr>
        <w:t xml:space="preserve">Clear MAX 7/10 certification milestones</w:t>
      </w:r>
      <w:r>
        <w:t xml:space="preserve">, including confirmation that anti-ice testing is complete.</w:t>
      </w:r>
    </w:p>
    <w:p>
      <w:pPr>
        <w:pStyle w:val="Compact"/>
        <w:numPr>
          <w:ilvl w:val="0"/>
          <w:numId w:val="1009"/>
        </w:numPr>
      </w:pPr>
      <w:r>
        <w:rPr>
          <w:b/>
          <w:bCs/>
        </w:rPr>
        <w:t xml:space="preserve">787 delivery acceleration</w:t>
      </w:r>
      <w:r>
        <w:t xml:space="preserve"> </w:t>
      </w:r>
      <w:r>
        <w:t xml:space="preserve">and better visibility on premium-seat and engine constraints.</w:t>
      </w:r>
    </w:p>
    <w:p>
      <w:pPr>
        <w:pStyle w:val="Compact"/>
        <w:numPr>
          <w:ilvl w:val="0"/>
          <w:numId w:val="1009"/>
        </w:numPr>
      </w:pPr>
      <w:r>
        <w:rPr>
          <w:b/>
          <w:bCs/>
        </w:rPr>
        <w:t xml:space="preserve">Reaffirmed</w:t>
      </w:r>
      <w:r>
        <w:rPr>
          <w:b/>
          <w:bCs/>
        </w:rPr>
        <w:t xml:space="preserve"> </w:t>
      </w:r>
      <m:oMath>
        <m:r>
          <m:t>1</m:t>
        </m:r>
        <m:r>
          <m:t>B</m:t>
        </m:r>
        <m:r>
          <m:rPr>
            <m:sty m:val="p"/>
          </m:rPr>
          <m:t>–</m:t>
        </m:r>
      </m:oMath>
      <w:r>
        <w:rPr>
          <w:b/>
          <w:bCs/>
        </w:rPr>
        <w:t xml:space="preserve">3B free-cash-flow guide</w:t>
      </w:r>
      <w:r>
        <w:t xml:space="preserve">, accompanied by confidence in second-half conversion.</w:t>
      </w:r>
    </w:p>
    <w:p>
      <w:pPr>
        <w:pStyle w:val="Compact"/>
        <w:numPr>
          <w:ilvl w:val="0"/>
          <w:numId w:val="1009"/>
        </w:numPr>
      </w:pPr>
      <w:r>
        <w:rPr>
          <w:b/>
          <w:bCs/>
        </w:rPr>
        <w:t xml:space="preserve">No new BDS program charges</w:t>
      </w:r>
      <w:r>
        <w:t xml:space="preserve"> </w:t>
      </w:r>
      <w:r>
        <w:t xml:space="preserve">and stronger-than-expected defense-margin progress.</w:t>
      </w:r>
    </w:p>
    <w:p>
      <w:pPr>
        <w:pStyle w:val="Compact"/>
        <w:numPr>
          <w:ilvl w:val="0"/>
          <w:numId w:val="1009"/>
        </w:numPr>
      </w:pPr>
      <w:r>
        <w:rPr>
          <w:b/>
          <w:bCs/>
        </w:rPr>
        <w:t xml:space="preserve">Further FAA normalization</w:t>
      </w:r>
      <w:r>
        <w:t xml:space="preserve">, including the recently restored authority for Boeing to perform final airworthiness signoffs for 737 MAX and 787 aircraft.</w:t>
      </w:r>
    </w:p>
    <w:bookmarkEnd w:id="19"/>
    <w:bookmarkStart w:id="20" w:name="principal-downside-risks"/>
    <w:p>
      <w:pPr>
        <w:pStyle w:val="Heading3"/>
      </w:pPr>
      <w:r>
        <w:t xml:space="preserve">Principal downside risks</w:t>
      </w:r>
    </w:p>
    <w:p>
      <w:pPr>
        <w:pStyle w:val="Compact"/>
        <w:numPr>
          <w:ilvl w:val="0"/>
          <w:numId w:val="1010"/>
        </w:numPr>
      </w:pPr>
      <w:r>
        <w:rPr>
          <w:b/>
          <w:bCs/>
        </w:rPr>
        <w:t xml:space="preserve">Certification slippage</w:t>
      </w:r>
      <w:r>
        <w:t xml:space="preserve"> </w:t>
      </w:r>
      <w:r>
        <w:t xml:space="preserve">for the MAX 7, MAX 10, or 777X.</w:t>
      </w:r>
    </w:p>
    <w:p>
      <w:pPr>
        <w:pStyle w:val="Compact"/>
        <w:numPr>
          <w:ilvl w:val="0"/>
          <w:numId w:val="1010"/>
        </w:numPr>
      </w:pPr>
      <w:r>
        <w:rPr>
          <w:b/>
          <w:bCs/>
        </w:rPr>
        <w:t xml:space="preserve">Production-rate instability</w:t>
      </w:r>
      <w:r>
        <w:t xml:space="preserve"> </w:t>
      </w:r>
      <w:r>
        <w:t xml:space="preserve">caused by quality findings, supplier issues, or regulator intervention.</w:t>
      </w:r>
    </w:p>
    <w:p>
      <w:pPr>
        <w:pStyle w:val="Compact"/>
        <w:numPr>
          <w:ilvl w:val="0"/>
          <w:numId w:val="1010"/>
        </w:numPr>
      </w:pPr>
      <w:r>
        <w:rPr>
          <w:b/>
          <w:bCs/>
        </w:rPr>
        <w:t xml:space="preserve">787 delivery delays</w:t>
      </w:r>
      <w:r>
        <w:t xml:space="preserve"> </w:t>
      </w:r>
      <w:r>
        <w:t xml:space="preserve">due to engines, seating, or other supplier constraints.</w:t>
      </w:r>
    </w:p>
    <w:p>
      <w:pPr>
        <w:pStyle w:val="Compact"/>
        <w:numPr>
          <w:ilvl w:val="0"/>
          <w:numId w:val="1010"/>
        </w:numPr>
      </w:pPr>
      <w:r>
        <w:rPr>
          <w:b/>
          <w:bCs/>
        </w:rPr>
        <w:t xml:space="preserve">Weak free-cash conversion</w:t>
      </w:r>
      <w:r>
        <w:t xml:space="preserve">, particularly if working capital or supplier support worsens.</w:t>
      </w:r>
    </w:p>
    <w:p>
      <w:pPr>
        <w:pStyle w:val="Compact"/>
        <w:numPr>
          <w:ilvl w:val="0"/>
          <w:numId w:val="1010"/>
        </w:numPr>
      </w:pPr>
      <w:r>
        <w:rPr>
          <w:b/>
          <w:bCs/>
        </w:rPr>
        <w:t xml:space="preserve">Fresh defense-program charges</w:t>
      </w:r>
      <w:r>
        <w:t xml:space="preserve"> </w:t>
      </w:r>
      <w:r>
        <w:t xml:space="preserve">that challenge confidence in BDS’s margin recovery.</w:t>
      </w:r>
    </w:p>
    <w:p>
      <w:pPr>
        <w:pStyle w:val="Compact"/>
        <w:numPr>
          <w:ilvl w:val="0"/>
          <w:numId w:val="1010"/>
        </w:numPr>
      </w:pPr>
      <w:r>
        <w:rPr>
          <w:b/>
          <w:bCs/>
        </w:rPr>
        <w:t xml:space="preserve">Airline demand or aftermarket pressure</w:t>
      </w:r>
      <w:r>
        <w:t xml:space="preserve"> </w:t>
      </w:r>
      <w:r>
        <w:t xml:space="preserve">tied to geopolitics, fuel prices, or trade disruptions.</w:t>
      </w:r>
    </w:p>
    <w:p>
      <w:pPr>
        <w:pStyle w:val="Compact"/>
        <w:numPr>
          <w:ilvl w:val="0"/>
          <w:numId w:val="1010"/>
        </w:numPr>
      </w:pPr>
      <w:r>
        <w:rPr>
          <w:b/>
          <w:bCs/>
        </w:rPr>
        <w:t xml:space="preserve">Balance-sheet limitations</w:t>
      </w:r>
      <w:r>
        <w:t xml:space="preserve">, including high debt and the need to preserve liquidity while investing in production capacity.</w:t>
      </w:r>
    </w:p>
    <w:p>
      <w:r>
        <w:pict>
          <v:rect style="width:0;height:1.5pt" o:hralign="center" o:hrstd="t" o:hr="t"/>
        </w:pict>
      </w:r>
    </w:p>
    <w:bookmarkEnd w:id="20"/>
    <w:bookmarkEnd w:id="21"/>
    <w:bookmarkStart w:id="25" w:name="X290d436f90a53c6ccebddff1ee91480bc5d6cc0"/>
    <w:p>
      <w:pPr>
        <w:pStyle w:val="Heading2"/>
      </w:pPr>
      <w:r>
        <w:t xml:space="preserve">What would change the narrative after earnings?</w:t>
      </w:r>
    </w:p>
    <w:bookmarkStart w:id="22" w:name="bullish-outcome"/>
    <w:p>
      <w:pPr>
        <w:pStyle w:val="Heading3"/>
      </w:pPr>
      <w:r>
        <w:t xml:space="preserve">Bullish outcome</w:t>
      </w:r>
    </w:p>
    <w:p>
      <w:pPr>
        <w:pStyle w:val="Compact"/>
        <w:numPr>
          <w:ilvl w:val="0"/>
          <w:numId w:val="1011"/>
        </w:numPr>
      </w:pPr>
      <w:r>
        <w:t xml:space="preserve">500 commercial-delivery target and</w:t>
      </w:r>
      <w:r>
        <w:t xml:space="preserve"> </w:t>
      </w:r>
      <m:oMath>
        <m:r>
          <m:t>1</m:t>
        </m:r>
        <m:r>
          <m:t>B</m:t>
        </m:r>
        <m:r>
          <m:rPr>
            <m:sty m:val="p"/>
          </m:rPr>
          <m:t>–</m:t>
        </m:r>
      </m:oMath>
      <w:r>
        <w:t xml:space="preserve">3B FCF guide are reaffirmed;</w:t>
      </w:r>
    </w:p>
    <w:p>
      <w:pPr>
        <w:pStyle w:val="Compact"/>
        <w:numPr>
          <w:ilvl w:val="0"/>
          <w:numId w:val="1011"/>
        </w:numPr>
      </w:pPr>
      <w:r>
        <w:t xml:space="preserve">Rate 47 is stable and the 737 North Line remains on plan;</w:t>
      </w:r>
    </w:p>
    <w:p>
      <w:pPr>
        <w:pStyle w:val="Compact"/>
        <w:numPr>
          <w:ilvl w:val="0"/>
          <w:numId w:val="1011"/>
        </w:numPr>
      </w:pPr>
      <w:r>
        <w:t xml:space="preserve">MAX 7/10 certification is described as imminent and without new technical/regulatory obstacles;</w:t>
      </w:r>
    </w:p>
    <w:p>
      <w:pPr>
        <w:pStyle w:val="Compact"/>
        <w:numPr>
          <w:ilvl w:val="0"/>
          <w:numId w:val="1011"/>
        </w:numPr>
      </w:pPr>
      <w:r>
        <w:t xml:space="preserve">787’s 90–100 delivery goal remains intact;</w:t>
      </w:r>
    </w:p>
    <w:p>
      <w:pPr>
        <w:pStyle w:val="Compact"/>
        <w:numPr>
          <w:ilvl w:val="0"/>
          <w:numId w:val="1011"/>
        </w:numPr>
      </w:pPr>
      <w:r>
        <w:t xml:space="preserve">BDS posts better margins without charges; and</w:t>
      </w:r>
    </w:p>
    <w:p>
      <w:pPr>
        <w:pStyle w:val="Compact"/>
        <w:numPr>
          <w:ilvl w:val="0"/>
          <w:numId w:val="1011"/>
        </w:numPr>
      </w:pPr>
      <w:r>
        <w:t xml:space="preserve">Management expresses greater confidence in a second-half cash inflection.</w:t>
      </w:r>
    </w:p>
    <w:bookmarkEnd w:id="22"/>
    <w:bookmarkStart w:id="23" w:name="neutral-outcome"/>
    <w:p>
      <w:pPr>
        <w:pStyle w:val="Heading3"/>
      </w:pPr>
      <w:r>
        <w:t xml:space="preserve">Neutral outcome</w:t>
      </w:r>
    </w:p>
    <w:p>
      <w:pPr>
        <w:pStyle w:val="Compact"/>
        <w:numPr>
          <w:ilvl w:val="0"/>
          <w:numId w:val="1012"/>
        </w:numPr>
      </w:pPr>
      <w:r>
        <w:t xml:space="preserve">Guidance is maintained, but management attributes delivery and cash pressure to timing;</w:t>
      </w:r>
    </w:p>
    <w:p>
      <w:pPr>
        <w:pStyle w:val="Compact"/>
        <w:numPr>
          <w:ilvl w:val="0"/>
          <w:numId w:val="1012"/>
        </w:numPr>
      </w:pPr>
      <w:r>
        <w:t xml:space="preserve">787 seat and engine issues linger but appear manageable;</w:t>
      </w:r>
    </w:p>
    <w:p>
      <w:pPr>
        <w:pStyle w:val="Compact"/>
        <w:numPr>
          <w:ilvl w:val="0"/>
          <w:numId w:val="1012"/>
        </w:numPr>
      </w:pPr>
      <w:r>
        <w:t xml:space="preserve">Certification timing remains broad rather than definitive; and</w:t>
      </w:r>
    </w:p>
    <w:p>
      <w:pPr>
        <w:pStyle w:val="Compact"/>
        <w:numPr>
          <w:ilvl w:val="0"/>
          <w:numId w:val="1012"/>
        </w:numPr>
      </w:pPr>
      <w:r>
        <w:t xml:space="preserve">BDS improves modestly but remains low-margin.</w:t>
      </w:r>
    </w:p>
    <w:bookmarkEnd w:id="23"/>
    <w:bookmarkStart w:id="24" w:name="bearish-outcome"/>
    <w:p>
      <w:pPr>
        <w:pStyle w:val="Heading3"/>
      </w:pPr>
      <w:r>
        <w:t xml:space="preserve">Bearish outcome</w:t>
      </w:r>
    </w:p>
    <w:p>
      <w:pPr>
        <w:pStyle w:val="Compact"/>
        <w:numPr>
          <w:ilvl w:val="0"/>
          <w:numId w:val="1013"/>
        </w:numPr>
      </w:pPr>
      <w:r>
        <w:t xml:space="preserve">Commercial-delivery or FCF guidance is reduced;</w:t>
      </w:r>
    </w:p>
    <w:p>
      <w:pPr>
        <w:pStyle w:val="Compact"/>
        <w:numPr>
          <w:ilvl w:val="0"/>
          <w:numId w:val="1013"/>
        </w:numPr>
      </w:pPr>
      <w:r>
        <w:t xml:space="preserve">Boeing identifies a new quality, supplier, or FAA issue;</w:t>
      </w:r>
    </w:p>
    <w:p>
      <w:pPr>
        <w:pStyle w:val="Compact"/>
        <w:numPr>
          <w:ilvl w:val="0"/>
          <w:numId w:val="1013"/>
        </w:numPr>
      </w:pPr>
      <w:r>
        <w:t xml:space="preserve">MAX 7/10 certification timing shifts materially;</w:t>
      </w:r>
    </w:p>
    <w:p>
      <w:pPr>
        <w:pStyle w:val="Compact"/>
        <w:numPr>
          <w:ilvl w:val="0"/>
          <w:numId w:val="1013"/>
        </w:numPr>
      </w:pPr>
      <w:r>
        <w:t xml:space="preserve">787 constraints jeopardize the rate-10 plan;</w:t>
      </w:r>
    </w:p>
    <w:p>
      <w:pPr>
        <w:pStyle w:val="Compact"/>
        <w:numPr>
          <w:ilvl w:val="0"/>
          <w:numId w:val="1013"/>
        </w:numPr>
      </w:pPr>
      <w:r>
        <w:t xml:space="preserve">BDS records an unexpected charge; or</w:t>
      </w:r>
    </w:p>
    <w:p>
      <w:pPr>
        <w:pStyle w:val="Compact"/>
        <w:numPr>
          <w:ilvl w:val="0"/>
          <w:numId w:val="1013"/>
        </w:numPr>
      </w:pPr>
      <w:r>
        <w:t xml:space="preserve">Management’s cash commentary indicates that positive 2026 FCF is no longer assured.</w:t>
      </w:r>
    </w:p>
    <w:p>
      <w:r>
        <w:pict>
          <v:rect style="width:0;height:1.5pt" o:hralign="center" o:hrstd="t" o:hr="t"/>
        </w:pict>
      </w:r>
    </w:p>
    <w:bookmarkEnd w:id="24"/>
    <w:bookmarkEnd w:id="25"/>
    <w:bookmarkStart w:id="27" w:name="bottom-line"/>
    <w:p>
      <w:pPr>
        <w:pStyle w:val="Heading2"/>
      </w:pPr>
      <w:r>
        <w:t xml:space="preserve">Bottom line</w:t>
      </w:r>
    </w:p>
    <w:p>
      <w:pPr>
        <w:pStyle w:val="FirstParagraph"/>
      </w:pPr>
      <w:r>
        <w:t xml:space="preserve">The 2Q26 report is best viewed as a</w:t>
      </w:r>
      <w:r>
        <w:t xml:space="preserve"> </w:t>
      </w:r>
      <w:r>
        <w:rPr>
          <w:b/>
          <w:bCs/>
        </w:rPr>
        <w:t xml:space="preserve">validation test for Boeing’s operational recovery</w:t>
      </w:r>
      <w:r>
        <w:t xml:space="preserve">. The company has the demand, backlog, liquidity, and strategic relevance to support a multi-year turnaround. What it still needs is proof that the industrial system can execute at higher rates while meeting quality standards and converting deliveries into cash.</w:t>
      </w:r>
    </w:p>
    <w:p>
      <w:pPr>
        <w:pStyle w:val="BodyText"/>
      </w:pPr>
      <w:r>
        <w:t xml:space="preserve">The most important signals will be:</w:t>
      </w:r>
    </w:p>
    <w:p>
      <w:pPr>
        <w:pStyle w:val="Compact"/>
        <w:numPr>
          <w:ilvl w:val="0"/>
          <w:numId w:val="1014"/>
        </w:numPr>
      </w:pPr>
      <w:r>
        <w:rPr>
          <w:b/>
          <w:bCs/>
        </w:rPr>
        <w:t xml:space="preserve">737 rate-47 stability and 2026 delivery confidence</w:t>
      </w:r>
    </w:p>
    <w:p>
      <w:pPr>
        <w:pStyle w:val="Compact"/>
        <w:numPr>
          <w:ilvl w:val="0"/>
          <w:numId w:val="1014"/>
        </w:numPr>
      </w:pPr>
      <w:r>
        <w:rPr>
          <w:b/>
          <w:bCs/>
        </w:rPr>
        <w:t xml:space="preserve">MAX 7/10 certification clarity</w:t>
      </w:r>
    </w:p>
    <w:p>
      <w:pPr>
        <w:pStyle w:val="Compact"/>
        <w:numPr>
          <w:ilvl w:val="0"/>
          <w:numId w:val="1014"/>
        </w:numPr>
      </w:pPr>
      <w:r>
        <w:rPr>
          <w:b/>
          <w:bCs/>
        </w:rPr>
        <w:t xml:space="preserve">787 delivery and supplier recovery</w:t>
      </w:r>
    </w:p>
    <w:p>
      <w:pPr>
        <w:pStyle w:val="Compact"/>
        <w:numPr>
          <w:ilvl w:val="0"/>
          <w:numId w:val="1014"/>
        </w:numPr>
      </w:pPr>
      <w:r>
        <w:rPr>
          <w:b/>
          <w:bCs/>
        </w:rPr>
        <w:t xml:space="preserve">Reaffirmation of positive 2026 free cash flow</w:t>
      </w:r>
    </w:p>
    <w:p>
      <w:pPr>
        <w:pStyle w:val="Compact"/>
        <w:numPr>
          <w:ilvl w:val="0"/>
          <w:numId w:val="1014"/>
        </w:numPr>
      </w:pPr>
      <w:r>
        <w:rPr>
          <w:b/>
          <w:bCs/>
        </w:rPr>
        <w:t xml:space="preserve">No renewed BDS charge cycle</w:t>
      </w:r>
    </w:p>
    <w:p>
      <w:pPr>
        <w:pStyle w:val="FirstParagraph"/>
      </w:pPr>
      <w:r>
        <w:t xml:space="preserve">A clean print with firm guidance would reinforce the view that Boeing is moving from stabilization to recovery. Anything that weakens the production, certification, or cash-conversion timeline would likely matter more to the shares than the headline quarterly EPS result.</w:t>
      </w:r>
    </w:p>
    <w:p>
      <w:r>
        <w:pict>
          <v:rect style="width:0;height:1.5pt" o:hralign="center" o:hrstd="t" o:hr="t"/>
        </w:pict>
      </w:r>
    </w:p>
    <w:bookmarkStart w:id="26" w:name="sources-reviewed"/>
    <w:p>
      <w:pPr>
        <w:pStyle w:val="Heading3"/>
      </w:pPr>
      <w:r>
        <w:t xml:space="preserve">Sources reviewed</w:t>
      </w:r>
    </w:p>
    <w:p>
      <w:pPr>
        <w:pStyle w:val="Compact"/>
        <w:numPr>
          <w:ilvl w:val="0"/>
          <w:numId w:val="1015"/>
        </w:numPr>
      </w:pPr>
      <w:r>
        <w:t xml:space="preserve">Boeing 1Q26 earnings release and 1Q26 earnings-call transcript, April 22, 2026</w:t>
      </w:r>
    </w:p>
    <w:p>
      <w:pPr>
        <w:pStyle w:val="Compact"/>
        <w:numPr>
          <w:ilvl w:val="0"/>
          <w:numId w:val="1015"/>
        </w:numPr>
      </w:pPr>
      <w:r>
        <w:t xml:space="preserve">Boeing 1Q26 Form 10-Q</w:t>
      </w:r>
    </w:p>
    <w:p>
      <w:pPr>
        <w:pStyle w:val="Compact"/>
        <w:numPr>
          <w:ilvl w:val="0"/>
          <w:numId w:val="1015"/>
        </w:numPr>
      </w:pPr>
      <w:r>
        <w:t xml:space="preserve">Recent Boeing/FAA and industry reporting through July 27, 2026</w:t>
      </w:r>
    </w:p>
    <w:p>
      <w:pPr>
        <w:pStyle w:val="Compact"/>
        <w:numPr>
          <w:ilvl w:val="0"/>
          <w:numId w:val="1015"/>
        </w:numPr>
      </w:pPr>
      <w:r>
        <w:t xml:space="preserve">BA historical closing-price data through July 27, 2026</w:t>
      </w:r>
    </w:p>
    <w:bookmarkEnd w:id="26"/>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2026-07-28T00:53:57Z</dcterms:created>
  <dcterms:modified xsi:type="dcterms:W3CDTF">2026-07-28T00:53:57Z</dcterms:modified>
</cp:coreProperties>
</file>

<file path=docProps/custom.xml><?xml version="1.0" encoding="utf-8"?>
<Properties xmlns="http://schemas.openxmlformats.org/officeDocument/2006/custom-properties" xmlns:vt="http://schemas.openxmlformats.org/officeDocument/2006/docPropsVTypes"/>
</file>