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Boeing Company (BA)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 Boeing Company</w:t>
            </w:r>
          </w:p>
        </w:tc>
      </w:tr>
      <w:tr>
        <w:tc>
          <w:tcPr>
            <w:tcW w:type="dxa" w:w="4320"/>
          </w:tcPr>
          <w:p>
            <w:r>
              <w:rPr>
                <w:rFonts w:ascii="Calibri" w:hAnsi="Calibri"/>
                <w:b/>
                <w:sz w:val="22"/>
              </w:rPr>
              <w:t>Ticker</w:t>
            </w:r>
          </w:p>
        </w:tc>
        <w:tc>
          <w:tcPr>
            <w:tcW w:type="dxa" w:w="4320"/>
          </w:tcPr>
          <w:p>
            <w:r>
              <w:rPr>
                <w:rFonts w:ascii="Calibri" w:hAnsi="Calibri"/>
                <w:sz w:val="22"/>
              </w:rPr>
              <w:t>BA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Last Earnings</w:t>
            </w:r>
          </w:p>
        </w:tc>
        <w:tc>
          <w:tcPr>
            <w:tcW w:type="dxa" w:w="4320"/>
          </w:tcPr>
          <w:p>
            <w:r>
              <w:rPr>
                <w:rFonts w:ascii="Calibri" w:hAnsi="Calibri"/>
                <w:sz w:val="22"/>
              </w:rPr>
              <w:t>April 22, 2026 (Q1 2026)</w:t>
            </w:r>
          </w:p>
        </w:tc>
      </w:tr>
      <w:tr>
        <w:tc>
          <w:tcPr>
            <w:tcW w:type="dxa" w:w="4320"/>
          </w:tcPr>
          <w:p>
            <w:r>
              <w:rPr>
                <w:rFonts w:ascii="Calibri" w:hAnsi="Calibri"/>
                <w:b/>
                <w:sz w:val="22"/>
              </w:rPr>
              <w:t>Sector ETF Benchmark</w:t>
            </w:r>
          </w:p>
        </w:tc>
        <w:tc>
          <w:tcPr>
            <w:tcW w:type="dxa" w:w="4320"/>
          </w:tcPr>
          <w:p>
            <w:r>
              <w:rPr>
                <w:rFonts w:ascii="Calibri" w:hAnsi="Calibri"/>
                <w:sz w:val="22"/>
              </w:rPr>
              <w:t>ITA (iShares U.S. Aerospace &amp; Defense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but not a layup — consensus has moved up since Q1's dramatic beat, commercial deliveries are the primary swing factor, and BA's ~19-point underperformance vs. ITA since the Q1 print leaves room for a positive re-rating if the production ramp is confirmed on track.</w:t>
      </w:r>
    </w:p>
    <w:p>
      <w:r>
        <w:rPr>
          <w:rFonts w:ascii="Calibri" w:hAnsi="Calibri"/>
          <w:color w:val="525866"/>
          <w:sz w:val="22"/>
        </w:rPr>
        <w:t xml:space="preserve">Heading into Q2 2026, the bar for Boeing is meaningfully higher than it was in Q1, when consensus had been revised sharply lower and the actual result — 143 commercial deliveries, core EPS of -$0.20 vs. -$0.94 expected, and FCF of -$1.5B vs. guidance of low-hundreds-of-millions outflow — produced one of the largest positive surprises in recent memory. </w:t>
      </w:r>
      <w:r>
        <w:rPr>
          <w:rFonts w:ascii="Calibri" w:hAnsi="Calibri"/>
          <w:b/>
          <w:color w:val="525866"/>
          <w:sz w:val="22"/>
        </w:rPr>
        <w:t>Consensus now expects ~167 commercial deliveries and revenue of ~$24.2B</w:t>
      </w:r>
      <w:r>
        <w:rPr>
          <w:rFonts w:ascii="Calibri" w:hAnsi="Calibri"/>
          <w:color w:val="525866"/>
          <w:sz w:val="22"/>
        </w:rPr>
        <w:t xml:space="preserve">, a meaningful step-up that requires Boeing to demonstrate the 737 rate-47 ramp (achieved in summer 2026 per management) is translating into actual delivery throughput. Management's tone on the Q1 call was notably constructive — reaffirming full-year FCF guidance of $1–3B positive, characterizing Q1 as a 'clean quarter,' and flagging no material Middle East impact — and that posture has not been walked back at any subsequent conference or 8-K, leaving estimates broadly tracking guidance. The stock has declined ~9.4% since the Q1 print while ITA has rallied ~9.6%, a ~19-point gap that reflects Boeing-specific headwinds: the China order came in at 200 jets vs. 500+ expected, SPEEA labor risk looms ahead of the October contract expiry, and 787 seat certification delays continue to hold back deliveries. The broader aerospace demand environment, however, remains exceptionally strong — GE Aerospace raised full-year guidance and reported Leap engine deliveries up 41% in H1, RTX confirmed 737 MAX and 787 rates are going up, and Lockheed Martin reported a record $230B backlog — all positive read-throughs for Boeing's commercial and defense segments. </w:t>
      </w:r>
      <w:r>
        <w:rPr>
          <w:rFonts w:ascii="Calibri" w:hAnsi="Calibri"/>
          <w:b/>
          <w:color w:val="525866"/>
          <w:sz w:val="22"/>
        </w:rPr>
        <w:t>The single biggest wildcard is the F/A-XX Navy fighter downselect expected in August 2026</w:t>
      </w:r>
      <w:r>
        <w:rPr>
          <w:rFonts w:ascii="Calibri" w:hAnsi="Calibri"/>
          <w:color w:val="525866"/>
          <w:sz w:val="22"/>
        </w:rPr>
        <w:t>: a Boeing win would be transformational for BDS and could re-rate the stock materially, while a loss to Northrop Grumman removes a key near-term catalyst. On the commercial side, whether Boeing can confirm 787 rate-10 readiness and provide a credible timeline for the China 200-jet commitment converting to firm orders will be closely watched.</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higher bar than Q1 across all KPIs — ~167 deliveries and ~$24.2B revenue imply a meaningful sequential step-up. Commercial deliveries are the bigger swing factor; FCF trajectory (expected to improve from Q1's -$1.5B toward a low-hundreds-of-millions outflow) is the metric that will most move the stock.</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$22.2B</w:t>
            </w:r>
          </w:p>
        </w:tc>
        <w:tc>
          <w:tcPr>
            <w:tcW w:type="dxa" w:w="1234"/>
          </w:tcPr>
          <w:p>
            <w:r>
              <w:rPr>
                <w:rFonts w:ascii="Calibri" w:hAnsi="Calibri"/>
                <w:sz w:val="22"/>
              </w:rPr>
              <w:t>$22.7B</w:t>
            </w:r>
          </w:p>
        </w:tc>
        <w:tc>
          <w:tcPr>
            <w:tcW w:type="dxa" w:w="1234"/>
          </w:tcPr>
          <w:p>
            <w:r>
              <w:rPr>
                <w:rFonts w:ascii="Calibri" w:hAnsi="Calibri"/>
                <w:sz w:val="22"/>
              </w:rPr>
              <w:t>$24.2B</w:t>
            </w:r>
          </w:p>
        </w:tc>
        <w:tc>
          <w:tcPr>
            <w:tcW w:type="dxa" w:w="1234"/>
          </w:tcPr>
          <w:p>
            <w:r>
              <w:rPr>
                <w:rFonts w:ascii="Calibri" w:hAnsi="Calibri"/>
                <w:sz w:val="22"/>
              </w:rPr>
              <w:t>+6.5% YoY</w:t>
            </w:r>
          </w:p>
        </w:tc>
        <w:tc>
          <w:tcPr>
            <w:tcW w:type="dxa" w:w="1234"/>
          </w:tcPr>
          <w:p>
            <w:r>
              <w:rPr>
                <w:rFonts w:ascii="Calibri" w:hAnsi="Calibri"/>
                <w:sz w:val="22"/>
              </w:rPr>
              <w:t>~$97.6B FY (consensus)</w:t>
            </w:r>
          </w:p>
        </w:tc>
        <w:tc>
          <w:tcPr>
            <w:tcW w:type="dxa" w:w="1234"/>
          </w:tcPr>
          <w:p>
            <w:r>
              <w:rPr>
                <w:rFonts w:ascii="Calibri" w:hAnsi="Calibri"/>
                <w:sz w:val="22"/>
              </w:rPr>
              <w:t>N/A — no explicit quarterly rev guidance</w:t>
            </w:r>
          </w:p>
        </w:tc>
      </w:tr>
      <w:tr>
        <w:tc>
          <w:tcPr>
            <w:tcW w:type="dxa" w:w="1234"/>
          </w:tcPr>
          <w:p>
            <w:r>
              <w:rPr>
                <w:rFonts w:ascii="Calibri" w:hAnsi="Calibri"/>
                <w:sz w:val="22"/>
              </w:rPr>
              <w:t>Commercial Deliveries (#)</w:t>
            </w:r>
          </w:p>
        </w:tc>
        <w:tc>
          <w:tcPr>
            <w:tcW w:type="dxa" w:w="1234"/>
          </w:tcPr>
          <w:p>
            <w:r>
              <w:rPr>
                <w:rFonts w:ascii="Calibri" w:hAnsi="Calibri"/>
                <w:sz w:val="22"/>
              </w:rPr>
              <w:t>143</w:t>
            </w:r>
          </w:p>
        </w:tc>
        <w:tc>
          <w:tcPr>
            <w:tcW w:type="dxa" w:w="1234"/>
          </w:tcPr>
          <w:p>
            <w:r>
              <w:rPr>
                <w:rFonts w:ascii="Calibri" w:hAnsi="Calibri"/>
                <w:sz w:val="22"/>
              </w:rPr>
              <w:t>150</w:t>
            </w:r>
          </w:p>
        </w:tc>
        <w:tc>
          <w:tcPr>
            <w:tcW w:type="dxa" w:w="1234"/>
          </w:tcPr>
          <w:p>
            <w:r>
              <w:rPr>
                <w:rFonts w:ascii="Calibri" w:hAnsi="Calibri"/>
                <w:sz w:val="22"/>
              </w:rPr>
              <w:t>167</w:t>
            </w:r>
          </w:p>
        </w:tc>
        <w:tc>
          <w:tcPr>
            <w:tcW w:type="dxa" w:w="1234"/>
          </w:tcPr>
          <w:p>
            <w:r>
              <w:rPr>
                <w:rFonts w:ascii="Calibri" w:hAnsi="Calibri"/>
                <w:sz w:val="22"/>
              </w:rPr>
              <w:t>+11.3% YoY</w:t>
            </w:r>
          </w:p>
        </w:tc>
        <w:tc>
          <w:tcPr>
            <w:tcW w:type="dxa" w:w="1234"/>
          </w:tcPr>
          <w:p>
            <w:r>
              <w:rPr>
                <w:rFonts w:ascii="Calibri" w:hAnsi="Calibri"/>
                <w:sz w:val="22"/>
              </w:rPr>
              <w:t>~500 FY 2026</w:t>
            </w:r>
          </w:p>
        </w:tc>
        <w:tc>
          <w:tcPr>
            <w:tcW w:type="dxa" w:w="1234"/>
          </w:tcPr>
          <w:p>
            <w:r>
              <w:rPr>
                <w:rFonts w:ascii="Calibri" w:hAnsi="Calibri"/>
                <w:sz w:val="22"/>
              </w:rPr>
              <w:t>Consensus implies ~334 in H2; tracking to ~668 FY vs. 500 guide — guide likely conservative</w:t>
            </w:r>
          </w:p>
        </w:tc>
      </w:tr>
      <w:tr>
        <w:tc>
          <w:tcPr>
            <w:tcW w:type="dxa" w:w="1234"/>
          </w:tcPr>
          <w:p>
            <w:r>
              <w:rPr>
                <w:rFonts w:ascii="Calibri" w:hAnsi="Calibri"/>
                <w:sz w:val="22"/>
              </w:rPr>
              <w:t>Free Cash Flow ($B)</w:t>
            </w:r>
          </w:p>
        </w:tc>
        <w:tc>
          <w:tcPr>
            <w:tcW w:type="dxa" w:w="1234"/>
          </w:tcPr>
          <w:p>
            <w:r>
              <w:rPr>
                <w:rFonts w:ascii="Calibri" w:hAnsi="Calibri"/>
                <w:sz w:val="22"/>
              </w:rPr>
              <w:t>-$1.5B</w:t>
            </w:r>
          </w:p>
        </w:tc>
        <w:tc>
          <w:tcPr>
            <w:tcW w:type="dxa" w:w="1234"/>
          </w:tcPr>
          <w:p>
            <w:r>
              <w:rPr>
                <w:rFonts w:ascii="Calibri" w:hAnsi="Calibri"/>
                <w:sz w:val="22"/>
              </w:rPr>
              <w:t>-$0.2B</w:t>
            </w:r>
          </w:p>
        </w:tc>
        <w:tc>
          <w:tcPr>
            <w:tcW w:type="dxa" w:w="1234"/>
          </w:tcPr>
          <w:p>
            <w:r>
              <w:rPr>
                <w:rFonts w:ascii="Calibri" w:hAnsi="Calibri"/>
                <w:sz w:val="22"/>
              </w:rPr>
              <w:t>-$0.4B</w:t>
            </w:r>
          </w:p>
        </w:tc>
        <w:tc>
          <w:tcPr>
            <w:tcW w:type="dxa" w:w="1234"/>
          </w:tcPr>
          <w:p>
            <w:r>
              <w:rPr>
                <w:rFonts w:ascii="Calibri" w:hAnsi="Calibri"/>
                <w:sz w:val="22"/>
              </w:rPr>
              <w:t>N/M (both negative)</w:t>
            </w:r>
          </w:p>
        </w:tc>
        <w:tc>
          <w:tcPr>
            <w:tcW w:type="dxa" w:w="1234"/>
          </w:tcPr>
          <w:p>
            <w:r>
              <w:rPr>
                <w:rFonts w:ascii="Calibri" w:hAnsi="Calibri"/>
                <w:sz w:val="22"/>
              </w:rPr>
              <w:t>$1B–$3B positive FY 2026</w:t>
            </w:r>
          </w:p>
        </w:tc>
        <w:tc>
          <w:tcPr>
            <w:tcW w:type="dxa" w:w="1234"/>
          </w:tcPr>
          <w:p>
            <w:r>
              <w:rPr>
                <w:rFonts w:ascii="Calibri" w:hAnsi="Calibri"/>
                <w:sz w:val="22"/>
              </w:rPr>
              <w:t>FY consensus $2.5B — within guidance range</w:t>
            </w:r>
          </w:p>
        </w:tc>
      </w:tr>
      <w:tr>
        <w:tc>
          <w:tcPr>
            <w:tcW w:type="dxa" w:w="1234"/>
          </w:tcPr>
          <w:p>
            <w:r>
              <w:rPr>
                <w:rFonts w:ascii="Calibri" w:hAnsi="Calibri"/>
                <w:sz w:val="22"/>
              </w:rPr>
              <w:t>Core EPS (Operating, Diluted)</w:t>
            </w:r>
          </w:p>
        </w:tc>
        <w:tc>
          <w:tcPr>
            <w:tcW w:type="dxa" w:w="1234"/>
          </w:tcPr>
          <w:p>
            <w:r>
              <w:rPr>
                <w:rFonts w:ascii="Calibri" w:hAnsi="Calibri"/>
                <w:sz w:val="22"/>
              </w:rPr>
              <w:t>-$0.10</w:t>
            </w:r>
          </w:p>
        </w:tc>
        <w:tc>
          <w:tcPr>
            <w:tcW w:type="dxa" w:w="1234"/>
          </w:tcPr>
          <w:p>
            <w:r>
              <w:rPr>
                <w:rFonts w:ascii="Calibri" w:hAnsi="Calibri"/>
                <w:sz w:val="22"/>
              </w:rPr>
              <w:t>-$1.13</w:t>
            </w:r>
          </w:p>
        </w:tc>
        <w:tc>
          <w:tcPr>
            <w:tcW w:type="dxa" w:w="1234"/>
          </w:tcPr>
          <w:p>
            <w:r>
              <w:rPr>
                <w:rFonts w:ascii="Calibri" w:hAnsi="Calibri"/>
                <w:sz w:val="22"/>
              </w:rPr>
              <w:t>-$0.19</w:t>
            </w:r>
          </w:p>
        </w:tc>
        <w:tc>
          <w:tcPr>
            <w:tcW w:type="dxa" w:w="1234"/>
          </w:tcPr>
          <w:p>
            <w:r>
              <w:rPr>
                <w:rFonts w:ascii="Calibri" w:hAnsi="Calibri"/>
                <w:sz w:val="22"/>
              </w:rPr>
              <w:t>Improvement YoY</w:t>
            </w:r>
          </w:p>
        </w:tc>
        <w:tc>
          <w:tcPr>
            <w:tcW w:type="dxa" w:w="1234"/>
          </w:tcPr>
          <w:p>
            <w:r>
              <w:rPr>
                <w:rFonts w:ascii="Calibri" w:hAnsi="Calibri"/>
                <w:sz w:val="22"/>
              </w:rPr>
              <w:t>No explicit EPS guidance</w:t>
            </w:r>
          </w:p>
        </w:tc>
        <w:tc>
          <w:tcPr>
            <w:tcW w:type="dxa" w:w="1234"/>
          </w:tcPr>
          <w:p>
            <w:r>
              <w:rPr>
                <w:rFonts w:ascii="Calibri" w:hAnsi="Calibri"/>
                <w:sz w:val="22"/>
              </w:rPr>
              <w:t>FY consensus -$0.17 — near breakeven</w:t>
            </w:r>
          </w:p>
        </w:tc>
      </w:tr>
      <w:tr>
        <w:tc>
          <w:tcPr>
            <w:tcW w:type="dxa" w:w="1234"/>
          </w:tcPr>
          <w:p>
            <w:r>
              <w:rPr>
                <w:rFonts w:ascii="Calibri" w:hAnsi="Calibri"/>
                <w:sz w:val="22"/>
              </w:rPr>
              <w:t>BCA Revenue ($B)</w:t>
            </w:r>
          </w:p>
        </w:tc>
        <w:tc>
          <w:tcPr>
            <w:tcW w:type="dxa" w:w="1234"/>
          </w:tcPr>
          <w:p>
            <w:r>
              <w:rPr>
                <w:rFonts w:ascii="Calibri" w:hAnsi="Calibri"/>
                <w:sz w:val="22"/>
              </w:rPr>
              <w:t>$9.2B</w:t>
            </w:r>
          </w:p>
        </w:tc>
        <w:tc>
          <w:tcPr>
            <w:tcW w:type="dxa" w:w="1234"/>
          </w:tcPr>
          <w:p>
            <w:r>
              <w:rPr>
                <w:rFonts w:ascii="Calibri" w:hAnsi="Calibri"/>
                <w:sz w:val="22"/>
              </w:rPr>
              <w:t>$10.9B</w:t>
            </w:r>
          </w:p>
        </w:tc>
        <w:tc>
          <w:tcPr>
            <w:tcW w:type="dxa" w:w="1234"/>
          </w:tcPr>
          <w:p>
            <w:r>
              <w:rPr>
                <w:rFonts w:ascii="Calibri" w:hAnsi="Calibri"/>
                <w:sz w:val="22"/>
              </w:rPr>
              <w:t>$11.6B</w:t>
            </w:r>
          </w:p>
        </w:tc>
        <w:tc>
          <w:tcPr>
            <w:tcW w:type="dxa" w:w="1234"/>
          </w:tcPr>
          <w:p>
            <w:r>
              <w:rPr>
                <w:rFonts w:ascii="Calibri" w:hAnsi="Calibri"/>
                <w:sz w:val="22"/>
              </w:rPr>
              <w:t>+6.4% YoY</w:t>
            </w:r>
          </w:p>
        </w:tc>
        <w:tc>
          <w:tcPr>
            <w:tcW w:type="dxa" w:w="1234"/>
          </w:tcPr>
          <w:p>
            <w:r>
              <w:rPr>
                <w:rFonts w:ascii="Calibri" w:hAnsi="Calibri"/>
                <w:sz w:val="22"/>
              </w:rPr>
              <w:t>~$46.6B FY (consensus)</w:t>
            </w:r>
          </w:p>
        </w:tc>
        <w:tc>
          <w:tcPr>
            <w:tcW w:type="dxa" w:w="1234"/>
          </w:tcPr>
          <w:p>
            <w:r>
              <w:rPr>
                <w:rFonts w:ascii="Calibri" w:hAnsi="Calibri"/>
                <w:sz w:val="22"/>
              </w:rPr>
              <w:t>N/A — no explicit segment rev guidance</w:t>
            </w:r>
          </w:p>
        </w:tc>
      </w:tr>
      <w:tr>
        <w:tc>
          <w:tcPr>
            <w:tcW w:type="dxa" w:w="1234"/>
          </w:tcPr>
          <w:p>
            <w:r>
              <w:rPr>
                <w:rFonts w:ascii="Calibri" w:hAnsi="Calibri"/>
                <w:sz w:val="22"/>
              </w:rPr>
              <w:t>BDS Revenue ($B)</w:t>
            </w:r>
          </w:p>
        </w:tc>
        <w:tc>
          <w:tcPr>
            <w:tcW w:type="dxa" w:w="1234"/>
          </w:tcPr>
          <w:p>
            <w:r>
              <w:rPr>
                <w:rFonts w:ascii="Calibri" w:hAnsi="Calibri"/>
                <w:sz w:val="22"/>
              </w:rPr>
              <w:t>$7.6B</w:t>
            </w:r>
          </w:p>
        </w:tc>
        <w:tc>
          <w:tcPr>
            <w:tcW w:type="dxa" w:w="1234"/>
          </w:tcPr>
          <w:p>
            <w:r>
              <w:rPr>
                <w:rFonts w:ascii="Calibri" w:hAnsi="Calibri"/>
                <w:sz w:val="22"/>
              </w:rPr>
              <w:t>$6.6B</w:t>
            </w:r>
          </w:p>
        </w:tc>
        <w:tc>
          <w:tcPr>
            <w:tcW w:type="dxa" w:w="1234"/>
          </w:tcPr>
          <w:p>
            <w:r>
              <w:rPr>
                <w:rFonts w:ascii="Calibri" w:hAnsi="Calibri"/>
                <w:sz w:val="22"/>
              </w:rPr>
              <w:t>$7.2B</w:t>
            </w:r>
          </w:p>
        </w:tc>
        <w:tc>
          <w:tcPr>
            <w:tcW w:type="dxa" w:w="1234"/>
          </w:tcPr>
          <w:p>
            <w:r>
              <w:rPr>
                <w:rFonts w:ascii="Calibri" w:hAnsi="Calibri"/>
                <w:sz w:val="22"/>
              </w:rPr>
              <w:t>+9.1% YoY</w:t>
            </w:r>
          </w:p>
        </w:tc>
        <w:tc>
          <w:tcPr>
            <w:tcW w:type="dxa" w:w="1234"/>
          </w:tcPr>
          <w:p>
            <w:r>
              <w:rPr>
                <w:rFonts w:ascii="Calibri" w:hAnsi="Calibri"/>
                <w:sz w:val="22"/>
              </w:rPr>
              <w:t>~$29.8B FY (consensus)</w:t>
            </w:r>
          </w:p>
        </w:tc>
        <w:tc>
          <w:tcPr>
            <w:tcW w:type="dxa" w:w="1234"/>
          </w:tcPr>
          <w:p>
            <w:r>
              <w:rPr>
                <w:rFonts w:ascii="Calibri" w:hAnsi="Calibri"/>
                <w:sz w:val="22"/>
              </w:rPr>
              <w:t>N/A — no explicit segment rev guidance</w:t>
            </w:r>
          </w:p>
        </w:tc>
      </w:tr>
      <w:tr>
        <w:tc>
          <w:tcPr>
            <w:tcW w:type="dxa" w:w="1234"/>
          </w:tcPr>
          <w:p>
            <w:r>
              <w:rPr>
                <w:rFonts w:ascii="Calibri" w:hAnsi="Calibri"/>
                <w:sz w:val="22"/>
              </w:rPr>
              <w:t>BGS Revenue ($B)</w:t>
            </w:r>
          </w:p>
        </w:tc>
        <w:tc>
          <w:tcPr>
            <w:tcW w:type="dxa" w:w="1234"/>
          </w:tcPr>
          <w:p>
            <w:r>
              <w:rPr>
                <w:rFonts w:ascii="Calibri" w:hAnsi="Calibri"/>
                <w:sz w:val="22"/>
              </w:rPr>
              <w:t>$5.4B</w:t>
            </w:r>
          </w:p>
        </w:tc>
        <w:tc>
          <w:tcPr>
            <w:tcW w:type="dxa" w:w="1234"/>
          </w:tcPr>
          <w:p>
            <w:r>
              <w:rPr>
                <w:rFonts w:ascii="Calibri" w:hAnsi="Calibri"/>
                <w:sz w:val="22"/>
              </w:rPr>
              <w:t>$5.3B</w:t>
            </w:r>
          </w:p>
        </w:tc>
        <w:tc>
          <w:tcPr>
            <w:tcW w:type="dxa" w:w="1234"/>
          </w:tcPr>
          <w:p>
            <w:r>
              <w:rPr>
                <w:rFonts w:ascii="Calibri" w:hAnsi="Calibri"/>
                <w:sz w:val="22"/>
              </w:rPr>
              <w:t>$5.3B</w:t>
            </w:r>
          </w:p>
        </w:tc>
        <w:tc>
          <w:tcPr>
            <w:tcW w:type="dxa" w:w="1234"/>
          </w:tcPr>
          <w:p>
            <w:r>
              <w:rPr>
                <w:rFonts w:ascii="Calibri" w:hAnsi="Calibri"/>
                <w:sz w:val="22"/>
              </w:rPr>
              <w:t>+0.8% YoY</w:t>
            </w:r>
          </w:p>
        </w:tc>
        <w:tc>
          <w:tcPr>
            <w:tcW w:type="dxa" w:w="1234"/>
          </w:tcPr>
          <w:p>
            <w:r>
              <w:rPr>
                <w:rFonts w:ascii="Calibri" w:hAnsi="Calibri"/>
                <w:sz w:val="22"/>
              </w:rPr>
              <w:t>~$21.5B FY (consensus)</w:t>
            </w:r>
          </w:p>
        </w:tc>
        <w:tc>
          <w:tcPr>
            <w:tcW w:type="dxa" w:w="1234"/>
          </w:tcPr>
          <w:p>
            <w:r>
              <w:rPr>
                <w:rFonts w:ascii="Calibri" w:hAnsi="Calibri"/>
                <w:sz w:val="22"/>
              </w:rPr>
              <w:t>N/A — no explicit segment rev guidance</w:t>
            </w:r>
          </w:p>
        </w:tc>
      </w:tr>
      <w:tr>
        <w:tc>
          <w:tcPr>
            <w:tcW w:type="dxa" w:w="1234"/>
          </w:tcPr>
          <w:p>
            <w:r>
              <w:rPr>
                <w:rFonts w:ascii="Calibri" w:hAnsi="Calibri"/>
                <w:sz w:val="22"/>
              </w:rPr>
              <w:t>BCA Operating Margin (%)</w:t>
            </w:r>
          </w:p>
        </w:tc>
        <w:tc>
          <w:tcPr>
            <w:tcW w:type="dxa" w:w="1234"/>
          </w:tcPr>
          <w:p>
            <w:r>
              <w:rPr>
                <w:rFonts w:ascii="Calibri" w:hAnsi="Calibri"/>
                <w:sz w:val="22"/>
              </w:rPr>
              <w:t>-6.1%</w:t>
            </w:r>
          </w:p>
        </w:tc>
        <w:tc>
          <w:tcPr>
            <w:tcW w:type="dxa" w:w="1234"/>
          </w:tcPr>
          <w:p>
            <w:r>
              <w:rPr>
                <w:rFonts w:ascii="Calibri" w:hAnsi="Calibri"/>
                <w:sz w:val="22"/>
              </w:rPr>
              <w:t>-5.1%</w:t>
            </w:r>
          </w:p>
        </w:tc>
        <w:tc>
          <w:tcPr>
            <w:tcW w:type="dxa" w:w="1234"/>
          </w:tcPr>
          <w:p>
            <w:r>
              <w:rPr>
                <w:rFonts w:ascii="Calibri" w:hAnsi="Calibri"/>
                <w:sz w:val="22"/>
              </w:rPr>
              <w:t>-3.6%</w:t>
            </w:r>
          </w:p>
        </w:tc>
        <w:tc>
          <w:tcPr>
            <w:tcW w:type="dxa" w:w="1234"/>
          </w:tcPr>
          <w:p>
            <w:r>
              <w:rPr>
                <w:rFonts w:ascii="Calibri" w:hAnsi="Calibri"/>
                <w:sz w:val="22"/>
              </w:rPr>
              <w:t>Improvement YoY</w:t>
            </w:r>
          </w:p>
        </w:tc>
        <w:tc>
          <w:tcPr>
            <w:tcW w:type="dxa" w:w="1234"/>
          </w:tcPr>
          <w:p>
            <w:r>
              <w:rPr>
                <w:rFonts w:ascii="Calibri" w:hAnsi="Calibri"/>
                <w:sz w:val="22"/>
              </w:rPr>
              <w:t>Positive by mid-2027</w:t>
            </w:r>
          </w:p>
        </w:tc>
        <w:tc>
          <w:tcPr>
            <w:tcW w:type="dxa" w:w="1234"/>
          </w:tcPr>
          <w:p>
            <w:r>
              <w:rPr>
                <w:rFonts w:ascii="Calibri" w:hAnsi="Calibri"/>
                <w:sz w:val="22"/>
              </w:rPr>
              <w:t>Consensus tracking sequential improvement</w:t>
            </w:r>
          </w:p>
        </w:tc>
      </w:tr>
      <w:tr>
        <w:tc>
          <w:tcPr>
            <w:tcW w:type="dxa" w:w="1234"/>
          </w:tcPr>
          <w:p>
            <w:r>
              <w:rPr>
                <w:rFonts w:ascii="Calibri" w:hAnsi="Calibri"/>
                <w:sz w:val="22"/>
              </w:rPr>
              <w:t>BDS Operating Margin (%)</w:t>
            </w:r>
          </w:p>
        </w:tc>
        <w:tc>
          <w:tcPr>
            <w:tcW w:type="dxa" w:w="1234"/>
          </w:tcPr>
          <w:p>
            <w:r>
              <w:rPr>
                <w:rFonts w:ascii="Calibri" w:hAnsi="Calibri"/>
                <w:sz w:val="22"/>
              </w:rPr>
              <w:t>3.1%</w:t>
            </w:r>
          </w:p>
        </w:tc>
        <w:tc>
          <w:tcPr>
            <w:tcW w:type="dxa" w:w="1234"/>
          </w:tcPr>
          <w:p>
            <w:r>
              <w:rPr>
                <w:rFonts w:ascii="Calibri" w:hAnsi="Calibri"/>
                <w:sz w:val="22"/>
              </w:rPr>
              <w:t>1.7%</w:t>
            </w:r>
          </w:p>
        </w:tc>
        <w:tc>
          <w:tcPr>
            <w:tcW w:type="dxa" w:w="1234"/>
          </w:tcPr>
          <w:p>
            <w:r>
              <w:rPr>
                <w:rFonts w:ascii="Calibri" w:hAnsi="Calibri"/>
                <w:sz w:val="22"/>
              </w:rPr>
              <w:t>3.2%</w:t>
            </w:r>
          </w:p>
        </w:tc>
        <w:tc>
          <w:tcPr>
            <w:tcW w:type="dxa" w:w="1234"/>
          </w:tcPr>
          <w:p>
            <w:r>
              <w:rPr>
                <w:rFonts w:ascii="Calibri" w:hAnsi="Calibri"/>
                <w:sz w:val="22"/>
              </w:rPr>
              <w:t>+150 bps YoY</w:t>
            </w:r>
          </w:p>
        </w:tc>
        <w:tc>
          <w:tcPr>
            <w:tcW w:type="dxa" w:w="1234"/>
          </w:tcPr>
          <w:p>
            <w:r>
              <w:rPr>
                <w:rFonts w:ascii="Calibri" w:hAnsi="Calibri"/>
                <w:sz w:val="22"/>
              </w:rPr>
              <w:t>~3.5% FY 2026</w:t>
            </w:r>
          </w:p>
        </w:tc>
        <w:tc>
          <w:tcPr>
            <w:tcW w:type="dxa" w:w="1234"/>
          </w:tcPr>
          <w:p>
            <w:r>
              <w:rPr>
                <w:rFonts w:ascii="Calibri" w:hAnsi="Calibri"/>
                <w:sz w:val="22"/>
              </w:rPr>
              <w:t>Consensus ~3.2% — slightly below FY guide</w:t>
            </w:r>
          </w:p>
        </w:tc>
      </w:tr>
    </w:tbl>
    <w:p>
      <w:r>
        <w:rPr>
          <w:rFonts w:ascii="Calibri" w:hAnsi="Calibri"/>
          <w:i/>
          <w:color w:val="525866"/>
          <w:sz w:val="22"/>
        </w:rPr>
        <w:t>Source: Visible Alpha Consensus and Actuals Data. All consensus figures as of July 27, 2026. BCA = Boeing Commercial Airplanes; BDS = Boeing Defense, Space &amp; Security; BGS = Boeing Global Services. Core EPS = EPS-Diluted Operating (non-GAAP). Q1 2026 BCA margin of -6.1% per Boeing Q1 2026 earnings release; Q2 2025 BCA margin derived from VA actuals.</w:t>
      </w:r>
    </w:p>
    <w:p>
      <w:pPr>
        <w:pStyle w:val="Heading3"/>
      </w:pPr>
      <w:r>
        <w:rPr>
          <w:rFonts w:ascii="Calibri" w:hAnsi="Calibri"/>
          <w:b/>
          <w:color w:val="3B4259"/>
          <w:sz w:val="24"/>
        </w:rPr>
        <w:t>Table 2 — Beat/Miss History: Top 2 KPIs (Last 8 Quarters)</w:t>
      </w:r>
    </w:p>
    <w:p>
      <w:r>
        <w:rPr>
          <w:rFonts w:ascii="Calibri" w:hAnsi="Calibri"/>
          <w:b/>
          <w:color w:val="525866"/>
          <w:sz w:val="22"/>
        </w:rPr>
        <w:t>Top 2 KPIs: (1) Commercial Deliveries, (2) Free Cash Flow</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Deliveries (#)</w:t>
            </w:r>
          </w:p>
        </w:tc>
        <w:tc>
          <w:tcPr>
            <w:tcW w:type="dxa" w:w="1440"/>
          </w:tcPr>
          <w:p>
            <w:r>
              <w:rPr>
                <w:rFonts w:ascii="Calibri" w:hAnsi="Calibri"/>
                <w:sz w:val="22"/>
              </w:rPr>
              <w:t>143</w:t>
            </w:r>
          </w:p>
        </w:tc>
        <w:tc>
          <w:tcPr>
            <w:tcW w:type="dxa" w:w="1440"/>
          </w:tcPr>
          <w:p>
            <w:r>
              <w:rPr>
                <w:rFonts w:ascii="Calibri" w:hAnsi="Calibri"/>
                <w:sz w:val="22"/>
              </w:rPr>
              <w:t>143</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Q1 2026</w:t>
            </w:r>
          </w:p>
        </w:tc>
        <w:tc>
          <w:tcPr>
            <w:tcW w:type="dxa" w:w="1440"/>
          </w:tcPr>
          <w:p>
            <w:r>
              <w:rPr>
                <w:rFonts w:ascii="Calibri" w:hAnsi="Calibri"/>
                <w:sz w:val="22"/>
              </w:rPr>
              <w:t>Free Cash Flow ($B)</w:t>
            </w:r>
          </w:p>
        </w:tc>
        <w:tc>
          <w:tcPr>
            <w:tcW w:type="dxa" w:w="1440"/>
          </w:tcPr>
          <w:p>
            <w:r>
              <w:rPr>
                <w:rFonts w:ascii="Calibri" w:hAnsi="Calibri"/>
                <w:sz w:val="22"/>
              </w:rPr>
              <w:t>-$1.5B</w:t>
            </w:r>
          </w:p>
        </w:tc>
        <w:tc>
          <w:tcPr>
            <w:tcW w:type="dxa" w:w="1440"/>
          </w:tcPr>
          <w:p>
            <w:r>
              <w:rPr>
                <w:rFonts w:ascii="Calibri" w:hAnsi="Calibri"/>
                <w:sz w:val="22"/>
              </w:rPr>
              <w:t>-$2.8B</w:t>
            </w:r>
          </w:p>
        </w:tc>
        <w:tc>
          <w:tcPr>
            <w:tcW w:type="dxa" w:w="1440"/>
          </w:tcPr>
          <w:p>
            <w:r>
              <w:rPr>
                <w:rFonts w:ascii="Calibri" w:hAnsi="Calibri"/>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Deliveries (#)</w:t>
            </w:r>
          </w:p>
        </w:tc>
        <w:tc>
          <w:tcPr>
            <w:tcW w:type="dxa" w:w="1440"/>
          </w:tcPr>
          <w:p>
            <w:r>
              <w:rPr>
                <w:rFonts w:ascii="Calibri" w:hAnsi="Calibri"/>
                <w:sz w:val="22"/>
              </w:rPr>
              <w:t>160</w:t>
            </w:r>
          </w:p>
        </w:tc>
        <w:tc>
          <w:tcPr>
            <w:tcW w:type="dxa" w:w="1440"/>
          </w:tcPr>
          <w:p>
            <w:r>
              <w:rPr>
                <w:rFonts w:ascii="Calibri" w:hAnsi="Calibri"/>
                <w:sz w:val="22"/>
              </w:rPr>
              <w:t>157</w:t>
            </w:r>
          </w:p>
        </w:tc>
        <w:tc>
          <w:tcPr>
            <w:tcW w:type="dxa" w:w="1440"/>
          </w:tcPr>
          <w:p>
            <w:r>
              <w:rPr>
                <w:rFonts w:ascii="Calibri" w:hAnsi="Calibri"/>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Free Cash Flow ($B)</w:t>
            </w:r>
          </w:p>
        </w:tc>
        <w:tc>
          <w:tcPr>
            <w:tcW w:type="dxa" w:w="1440"/>
          </w:tcPr>
          <w:p>
            <w:r>
              <w:rPr>
                <w:rFonts w:ascii="Calibri" w:hAnsi="Calibri"/>
                <w:sz w:val="22"/>
              </w:rPr>
              <w:t>+$0.4B</w:t>
            </w:r>
          </w:p>
        </w:tc>
        <w:tc>
          <w:tcPr>
            <w:tcW w:type="dxa" w:w="1440"/>
          </w:tcPr>
          <w:p>
            <w:r>
              <w:rPr>
                <w:rFonts w:ascii="Calibri" w:hAnsi="Calibri"/>
                <w:sz w:val="22"/>
              </w:rPr>
              <w:t>+$0.3B</w:t>
            </w:r>
          </w:p>
        </w:tc>
        <w:tc>
          <w:tcPr>
            <w:tcW w:type="dxa" w:w="1440"/>
          </w:tcPr>
          <w:p>
            <w:r>
              <w:rPr>
                <w:rFonts w:ascii="Calibri" w:hAnsi="Calibri"/>
                <w:sz w:val="22"/>
              </w:rPr>
              <w:t>+33%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Deliveries (#)</w:t>
            </w:r>
          </w:p>
        </w:tc>
        <w:tc>
          <w:tcPr>
            <w:tcW w:type="dxa" w:w="1440"/>
          </w:tcPr>
          <w:p>
            <w:r>
              <w:rPr>
                <w:rFonts w:ascii="Calibri" w:hAnsi="Calibri"/>
                <w:sz w:val="22"/>
              </w:rPr>
              <w:t>160</w:t>
            </w:r>
          </w:p>
        </w:tc>
        <w:tc>
          <w:tcPr>
            <w:tcW w:type="dxa" w:w="1440"/>
          </w:tcPr>
          <w:p>
            <w:r>
              <w:rPr>
                <w:rFonts w:ascii="Calibri" w:hAnsi="Calibri"/>
                <w:sz w:val="22"/>
              </w:rPr>
              <w:t>155</w:t>
            </w:r>
          </w:p>
        </w:tc>
        <w:tc>
          <w:tcPr>
            <w:tcW w:type="dxa" w:w="1440"/>
          </w:tcPr>
          <w:p>
            <w:r>
              <w:rPr>
                <w:rFonts w:ascii="Calibri" w:hAnsi="Calibri"/>
                <w:sz w:val="22"/>
              </w:rPr>
              <w:t>+3.2%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Free Cash Flow ($B)</w:t>
            </w:r>
          </w:p>
        </w:tc>
        <w:tc>
          <w:tcPr>
            <w:tcW w:type="dxa" w:w="1440"/>
          </w:tcPr>
          <w:p>
            <w:r>
              <w:rPr>
                <w:rFonts w:ascii="Calibri" w:hAnsi="Calibri"/>
                <w:sz w:val="22"/>
              </w:rPr>
              <w:t>+$0.2B</w:t>
            </w:r>
          </w:p>
        </w:tc>
        <w:tc>
          <w:tcPr>
            <w:tcW w:type="dxa" w:w="1440"/>
          </w:tcPr>
          <w:p>
            <w:r>
              <w:rPr>
                <w:rFonts w:ascii="Calibri" w:hAnsi="Calibri"/>
                <w:sz w:val="22"/>
              </w:rPr>
              <w:t>-$0.8B</w:t>
            </w:r>
          </w:p>
        </w:tc>
        <w:tc>
          <w:tcPr>
            <w:tcW w:type="dxa" w:w="1440"/>
          </w:tcPr>
          <w:p>
            <w:r>
              <w:rPr>
                <w:rFonts w:ascii="Calibri" w:hAnsi="Calibri"/>
                <w:sz w:val="22"/>
              </w:rPr>
              <w:t>N/M (sign flip)</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Deliveries (#)</w:t>
            </w:r>
          </w:p>
        </w:tc>
        <w:tc>
          <w:tcPr>
            <w:tcW w:type="dxa" w:w="1440"/>
          </w:tcPr>
          <w:p>
            <w:r>
              <w:rPr>
                <w:rFonts w:ascii="Calibri" w:hAnsi="Calibri"/>
                <w:sz w:val="22"/>
              </w:rPr>
              <w:t>150</w:t>
            </w:r>
          </w:p>
        </w:tc>
        <w:tc>
          <w:tcPr>
            <w:tcW w:type="dxa" w:w="1440"/>
          </w:tcPr>
          <w:p>
            <w:r>
              <w:rPr>
                <w:rFonts w:ascii="Calibri" w:hAnsi="Calibri"/>
                <w:sz w:val="22"/>
              </w:rPr>
              <w:t>144</w:t>
            </w:r>
          </w:p>
        </w:tc>
        <w:tc>
          <w:tcPr>
            <w:tcW w:type="dxa" w:w="1440"/>
          </w:tcPr>
          <w:p>
            <w:r>
              <w:rPr>
                <w:rFonts w:ascii="Calibri" w:hAnsi="Calibri"/>
                <w:sz w:val="22"/>
              </w:rPr>
              <w:t>+4.1%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Free Cash Flow ($B)</w:t>
            </w:r>
          </w:p>
        </w:tc>
        <w:tc>
          <w:tcPr>
            <w:tcW w:type="dxa" w:w="1440"/>
          </w:tcPr>
          <w:p>
            <w:r>
              <w:rPr>
                <w:rFonts w:ascii="Calibri" w:hAnsi="Calibri"/>
                <w:sz w:val="22"/>
              </w:rPr>
              <w:t>-$0.2B</w:t>
            </w:r>
          </w:p>
        </w:tc>
        <w:tc>
          <w:tcPr>
            <w:tcW w:type="dxa" w:w="1440"/>
          </w:tcPr>
          <w:p>
            <w:r>
              <w:rPr>
                <w:rFonts w:ascii="Calibri" w:hAnsi="Calibri"/>
                <w:sz w:val="22"/>
              </w:rPr>
              <w:t>-$1.9B</w:t>
            </w:r>
          </w:p>
        </w:tc>
        <w:tc>
          <w:tcPr>
            <w:tcW w:type="dxa" w:w="1440"/>
          </w:tcPr>
          <w:p>
            <w:r>
              <w:rPr>
                <w:rFonts w:ascii="Calibri" w:hAnsi="Calibri"/>
                <w:sz w:val="22"/>
              </w:rPr>
              <w:t>N/M (sign flip)</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Deliveries (#)</w:t>
            </w:r>
          </w:p>
        </w:tc>
        <w:tc>
          <w:tcPr>
            <w:tcW w:type="dxa" w:w="1440"/>
          </w:tcPr>
          <w:p>
            <w:r>
              <w:rPr>
                <w:rFonts w:ascii="Calibri" w:hAnsi="Calibri"/>
                <w:sz w:val="22"/>
              </w:rPr>
              <w:t>130</w:t>
            </w:r>
          </w:p>
        </w:tc>
        <w:tc>
          <w:tcPr>
            <w:tcW w:type="dxa" w:w="1440"/>
          </w:tcPr>
          <w:p>
            <w:r>
              <w:rPr>
                <w:rFonts w:ascii="Calibri" w:hAnsi="Calibri"/>
                <w:sz w:val="22"/>
              </w:rPr>
              <w:t>129</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Free Cash Flow ($B)</w:t>
            </w:r>
          </w:p>
        </w:tc>
        <w:tc>
          <w:tcPr>
            <w:tcW w:type="dxa" w:w="1440"/>
          </w:tcPr>
          <w:p>
            <w:r>
              <w:rPr>
                <w:rFonts w:ascii="Calibri" w:hAnsi="Calibri"/>
                <w:sz w:val="22"/>
              </w:rPr>
              <w:t>-$2.3B</w:t>
            </w:r>
          </w:p>
        </w:tc>
        <w:tc>
          <w:tcPr>
            <w:tcW w:type="dxa" w:w="1440"/>
          </w:tcPr>
          <w:p>
            <w:r>
              <w:rPr>
                <w:rFonts w:ascii="Calibri" w:hAnsi="Calibri"/>
                <w:sz w:val="22"/>
              </w:rPr>
              <w:t>-$3.6B</w:t>
            </w:r>
          </w:p>
        </w:tc>
        <w:tc>
          <w:tcPr>
            <w:tcW w:type="dxa" w:w="1440"/>
          </w:tcPr>
          <w:p>
            <w:r>
              <w:rPr>
                <w:rFonts w:ascii="Calibri" w:hAnsi="Calibri"/>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Deliveries (#)</w:t>
            </w:r>
          </w:p>
        </w:tc>
        <w:tc>
          <w:tcPr>
            <w:tcW w:type="dxa" w:w="1440"/>
          </w:tcPr>
          <w:p>
            <w:r>
              <w:rPr>
                <w:rFonts w:ascii="Calibri" w:hAnsi="Calibri"/>
                <w:sz w:val="22"/>
              </w:rPr>
              <w:t>57</w:t>
            </w:r>
          </w:p>
        </w:tc>
        <w:tc>
          <w:tcPr>
            <w:tcW w:type="dxa" w:w="1440"/>
          </w:tcPr>
          <w:p>
            <w:r>
              <w:rPr>
                <w:rFonts w:ascii="Calibri" w:hAnsi="Calibri"/>
                <w:sz w:val="22"/>
              </w:rPr>
              <w:t>62</w:t>
            </w:r>
          </w:p>
        </w:tc>
        <w:tc>
          <w:tcPr>
            <w:tcW w:type="dxa" w:w="1440"/>
          </w:tcPr>
          <w:p>
            <w:r>
              <w:rPr>
                <w:rFonts w:ascii="Calibri" w:hAnsi="Calibri"/>
                <w:sz w:val="22"/>
              </w:rPr>
              <w:t>-8.1%</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Free Cash Flow ($B)</w:t>
            </w:r>
          </w:p>
        </w:tc>
        <w:tc>
          <w:tcPr>
            <w:tcW w:type="dxa" w:w="1440"/>
          </w:tcPr>
          <w:p>
            <w:r>
              <w:rPr>
                <w:rFonts w:ascii="Calibri" w:hAnsi="Calibri"/>
                <w:sz w:val="22"/>
              </w:rPr>
              <w:t>-$4.1B</w:t>
            </w:r>
          </w:p>
        </w:tc>
        <w:tc>
          <w:tcPr>
            <w:tcW w:type="dxa" w:w="1440"/>
          </w:tcPr>
          <w:p>
            <w:r>
              <w:rPr>
                <w:rFonts w:ascii="Calibri" w:hAnsi="Calibri"/>
                <w:sz w:val="22"/>
              </w:rPr>
              <w:t>-$4.1B</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Deliveries (#)</w:t>
            </w:r>
          </w:p>
        </w:tc>
        <w:tc>
          <w:tcPr>
            <w:tcW w:type="dxa" w:w="1440"/>
          </w:tcPr>
          <w:p>
            <w:r>
              <w:rPr>
                <w:rFonts w:ascii="Calibri" w:hAnsi="Calibri"/>
                <w:sz w:val="22"/>
              </w:rPr>
              <w:t>116</w:t>
            </w:r>
          </w:p>
        </w:tc>
        <w:tc>
          <w:tcPr>
            <w:tcW w:type="dxa" w:w="1440"/>
          </w:tcPr>
          <w:p>
            <w:r>
              <w:rPr>
                <w:rFonts w:ascii="Calibri" w:hAnsi="Calibri"/>
                <w:sz w:val="22"/>
              </w:rPr>
              <w:t>116</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Free Cash Flow ($B)</w:t>
            </w:r>
          </w:p>
        </w:tc>
        <w:tc>
          <w:tcPr>
            <w:tcW w:type="dxa" w:w="1440"/>
          </w:tcPr>
          <w:p>
            <w:r>
              <w:rPr>
                <w:rFonts w:ascii="Calibri" w:hAnsi="Calibri"/>
                <w:sz w:val="22"/>
              </w:rPr>
              <w:t>-$2.0B</w:t>
            </w:r>
          </w:p>
        </w:tc>
        <w:tc>
          <w:tcPr>
            <w:tcW w:type="dxa" w:w="1440"/>
          </w:tcPr>
          <w:p>
            <w:r>
              <w:rPr>
                <w:rFonts w:ascii="Calibri" w:hAnsi="Calibri"/>
                <w:sz w:val="22"/>
              </w:rPr>
              <w:t>-$4.0B</w:t>
            </w:r>
          </w:p>
        </w:tc>
        <w:tc>
          <w:tcPr>
            <w:tcW w:type="dxa" w:w="1440"/>
          </w:tcPr>
          <w:p>
            <w:r>
              <w:rPr>
                <w:rFonts w:ascii="Calibri" w:hAnsi="Calibri"/>
                <w:sz w:val="22"/>
              </w:rPr>
              <w:t>+50%</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Deliveries (#)</w:t>
            </w:r>
          </w:p>
        </w:tc>
        <w:tc>
          <w:tcPr>
            <w:tcW w:type="dxa" w:w="1440"/>
          </w:tcPr>
          <w:p>
            <w:r>
              <w:rPr>
                <w:rFonts w:ascii="Calibri" w:hAnsi="Calibri"/>
                <w:sz w:val="22"/>
              </w:rPr>
              <w:t>92</w:t>
            </w:r>
          </w:p>
        </w:tc>
        <w:tc>
          <w:tcPr>
            <w:tcW w:type="dxa" w:w="1440"/>
          </w:tcPr>
          <w:p>
            <w:r>
              <w:rPr>
                <w:rFonts w:ascii="Calibri" w:hAnsi="Calibri"/>
                <w:sz w:val="22"/>
              </w:rPr>
              <w:t>93</w:t>
            </w:r>
          </w:p>
        </w:tc>
        <w:tc>
          <w:tcPr>
            <w:tcW w:type="dxa" w:w="1440"/>
          </w:tcPr>
          <w:p>
            <w:r>
              <w:rPr>
                <w:rFonts w:ascii="Calibri" w:hAnsi="Calibri"/>
                <w:sz w:val="22"/>
              </w:rPr>
              <w:t>-1.1%</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Free Cash Flow ($B)</w:t>
            </w:r>
          </w:p>
        </w:tc>
        <w:tc>
          <w:tcPr>
            <w:tcW w:type="dxa" w:w="1440"/>
          </w:tcPr>
          <w:p>
            <w:r>
              <w:rPr>
                <w:rFonts w:ascii="Calibri" w:hAnsi="Calibri"/>
                <w:sz w:val="22"/>
              </w:rPr>
              <w:t>-$4.3B</w:t>
            </w:r>
          </w:p>
        </w:tc>
        <w:tc>
          <w:tcPr>
            <w:tcW w:type="dxa" w:w="1440"/>
          </w:tcPr>
          <w:p>
            <w:r>
              <w:rPr>
                <w:rFonts w:ascii="Calibri" w:hAnsi="Calibri"/>
                <w:sz w:val="22"/>
              </w:rPr>
              <w:t>-$4.3B</w:t>
            </w:r>
          </w:p>
        </w:tc>
        <w:tc>
          <w:tcPr>
            <w:tcW w:type="dxa" w:w="1440"/>
          </w:tcPr>
          <w:p>
            <w:r>
              <w:rPr>
                <w:rFonts w:ascii="Calibri" w:hAnsi="Calibri"/>
                <w:sz w:val="22"/>
              </w:rPr>
              <w:t>0.0%</w:t>
            </w:r>
          </w:p>
        </w:tc>
        <w:tc>
          <w:tcPr>
            <w:tcW w:type="dxa" w:w="1440"/>
          </w:tcPr>
          <w:p>
            <w:r>
              <w:rPr>
                <w:rFonts w:ascii="Calibri" w:hAnsi="Calibri"/>
                <w:sz w:val="22"/>
              </w:rPr>
              <w:t>In-Line</w:t>
            </w:r>
          </w:p>
        </w:tc>
      </w:tr>
    </w:tbl>
    <w:p>
      <w:r>
        <w:rPr>
          <w:rFonts w:ascii="Calibri" w:hAnsi="Calibri"/>
          <w:b/>
          <w:color w:val="525866"/>
          <w:sz w:val="22"/>
        </w:rPr>
        <w:t xml:space="preserve">Pattern: </w:t>
      </w:r>
      <w:r>
        <w:rPr>
          <w:rFonts w:ascii="Calibri" w:hAnsi="Calibri"/>
          <w:i/>
          <w:color w:val="525866"/>
          <w:sz w:val="22"/>
        </w:rPr>
        <w:t>Boeing has beaten or matched FCF consensus in 7 of the last 8 quarters, with the sole miss on deliveries in Q4 2024 driven by the machinist strike. The delivery beat rate has improved markedly since the strike resolution, with 5 consecutive beats or in-line results.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earnings call — management reaffirmed $1–3B positive FCF for FY 2026 and ~500 commercial deliveries with no post-earnings revisions. Tone has shifted from defensive to constructively offensive, particularly on defense growth and the China order opportunity.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Free Cash Flow</w:t>
            </w:r>
          </w:p>
        </w:tc>
        <w:tc>
          <w:tcPr>
            <w:tcW w:type="dxa" w:w="1728"/>
          </w:tcPr>
          <w:p>
            <w:r>
              <w:rPr>
                <w:rFonts w:ascii="Calibri" w:hAnsi="Calibri"/>
                <w:sz w:val="22"/>
              </w:rPr>
              <w:t>$1B–$3B positive</w:t>
            </w:r>
          </w:p>
        </w:tc>
        <w:tc>
          <w:tcPr>
            <w:tcW w:type="dxa" w:w="1728"/>
          </w:tcPr>
          <w:p>
            <w:r>
              <w:rPr>
                <w:rFonts w:ascii="Calibri" w:hAnsi="Calibri"/>
                <w:sz w:val="22"/>
              </w:rPr>
              <w:t>— Unchanged</w:t>
            </w:r>
          </w:p>
        </w:tc>
        <w:tc>
          <w:tcPr>
            <w:tcW w:type="dxa" w:w="1728"/>
          </w:tcPr>
          <w:p>
            <w:r>
              <w:rPr>
                <w:rFonts w:ascii="Calibri" w:hAnsi="Calibri"/>
                <w:sz w:val="22"/>
              </w:rPr>
              <w:t>$2.5B</w:t>
            </w:r>
          </w:p>
        </w:tc>
        <w:tc>
          <w:tcPr>
            <w:tcW w:type="dxa" w:w="1728"/>
          </w:tcPr>
          <w:p>
            <w:r>
              <w:rPr>
                <w:rFonts w:ascii="Calibri" w:hAnsi="Calibri"/>
                <w:sz w:val="22"/>
              </w:rPr>
              <w:t>No post-earnings update; consensus sits at midpoint of range</w:t>
            </w:r>
          </w:p>
        </w:tc>
      </w:tr>
      <w:tr>
        <w:tc>
          <w:tcPr>
            <w:tcW w:type="dxa" w:w="1728"/>
          </w:tcPr>
          <w:p>
            <w:r>
              <w:rPr>
                <w:rFonts w:ascii="Calibri" w:hAnsi="Calibri"/>
                <w:sz w:val="22"/>
              </w:rPr>
              <w:t>FY 2026 Commercial Deliveries</w:t>
            </w:r>
          </w:p>
        </w:tc>
        <w:tc>
          <w:tcPr>
            <w:tcW w:type="dxa" w:w="1728"/>
          </w:tcPr>
          <w:p>
            <w:r>
              <w:rPr>
                <w:rFonts w:ascii="Calibri" w:hAnsi="Calibri"/>
                <w:sz w:val="22"/>
              </w:rPr>
              <w:t>~500 aircraft</w:t>
            </w:r>
          </w:p>
        </w:tc>
        <w:tc>
          <w:tcPr>
            <w:tcW w:type="dxa" w:w="1728"/>
          </w:tcPr>
          <w:p>
            <w:r>
              <w:rPr>
                <w:rFonts w:ascii="Calibri" w:hAnsi="Calibri"/>
                <w:sz w:val="22"/>
              </w:rPr>
              <w:t>— Unchanged</w:t>
            </w:r>
          </w:p>
        </w:tc>
        <w:tc>
          <w:tcPr>
            <w:tcW w:type="dxa" w:w="1728"/>
          </w:tcPr>
          <w:p>
            <w:r>
              <w:rPr>
                <w:rFonts w:ascii="Calibri" w:hAnsi="Calibri"/>
                <w:sz w:val="22"/>
              </w:rPr>
              <w:t>~668 (FY consensus)</w:t>
            </w:r>
          </w:p>
        </w:tc>
        <w:tc>
          <w:tcPr>
            <w:tcW w:type="dxa" w:w="1728"/>
          </w:tcPr>
          <w:p>
            <w:r>
              <w:rPr>
                <w:rFonts w:ascii="Calibri" w:hAnsi="Calibri"/>
                <w:sz w:val="22"/>
              </w:rPr>
              <w:t>Consensus materially above guide; management guide likely conservative given rate-47 ramp</w:t>
            </w:r>
          </w:p>
        </w:tc>
      </w:tr>
      <w:tr>
        <w:tc>
          <w:tcPr>
            <w:tcW w:type="dxa" w:w="1728"/>
          </w:tcPr>
          <w:p>
            <w:r>
              <w:rPr>
                <w:rFonts w:ascii="Calibri" w:hAnsi="Calibri"/>
                <w:sz w:val="22"/>
              </w:rPr>
              <w:t>737 Production Rate</w:t>
            </w:r>
          </w:p>
        </w:tc>
        <w:tc>
          <w:tcPr>
            <w:tcW w:type="dxa" w:w="1728"/>
          </w:tcPr>
          <w:p>
            <w:r>
              <w:rPr>
                <w:rFonts w:ascii="Calibri" w:hAnsi="Calibri"/>
                <w:sz w:val="22"/>
              </w:rPr>
              <w:t>Rate 42 → 47 in summer 2026; North Line to rate 52 when ready</w:t>
            </w:r>
          </w:p>
        </w:tc>
        <w:tc>
          <w:tcPr>
            <w:tcW w:type="dxa" w:w="1728"/>
          </w:tcPr>
          <w:p>
            <w:r>
              <w:rPr>
                <w:rFonts w:ascii="Calibri" w:hAnsi="Calibri"/>
                <w:sz w:val="22"/>
              </w:rPr>
              <w:t>↑ Rate 47 confirmed achieved (Bernstein Conference, May 27)</w:t>
            </w:r>
          </w:p>
        </w:tc>
        <w:tc>
          <w:tcPr>
            <w:tcW w:type="dxa" w:w="1728"/>
          </w:tcPr>
          <w:p>
            <w:r>
              <w:rPr>
                <w:rFonts w:ascii="Calibri" w:hAnsi="Calibri"/>
                <w:sz w:val="22"/>
              </w:rPr>
              <w:t>N/A</w:t>
            </w:r>
          </w:p>
        </w:tc>
        <w:tc>
          <w:tcPr>
            <w:tcW w:type="dxa" w:w="1728"/>
          </w:tcPr>
          <w:p>
            <w:r>
              <w:rPr>
                <w:rFonts w:ascii="Calibri" w:hAnsi="Calibri"/>
                <w:sz w:val="22"/>
              </w:rPr>
              <w:t>↑ Confirmed at Bernstein Conference May 27, 2026; CEO stated Boeing passed FAA capstone review for rate 47 and is actively running the line at that rate</w:t>
            </w:r>
          </w:p>
        </w:tc>
      </w:tr>
      <w:tr>
        <w:tc>
          <w:tcPr>
            <w:tcW w:type="dxa" w:w="1728"/>
          </w:tcPr>
          <w:p>
            <w:r>
              <w:rPr>
                <w:rFonts w:ascii="Calibri" w:hAnsi="Calibri"/>
                <w:sz w:val="22"/>
              </w:rPr>
              <w:t>787 Production Rate</w:t>
            </w:r>
          </w:p>
        </w:tc>
        <w:tc>
          <w:tcPr>
            <w:tcW w:type="dxa" w:w="1728"/>
          </w:tcPr>
          <w:p>
            <w:r>
              <w:rPr>
                <w:rFonts w:ascii="Calibri" w:hAnsi="Calibri"/>
                <w:sz w:val="22"/>
              </w:rPr>
              <w:t>8/month; targeting 10/month later in 2026</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GE engine delivery recovery plan required before rate 10 achievable; Howmet assumes 8/month by Q4 2026</w:t>
            </w:r>
          </w:p>
        </w:tc>
      </w:tr>
      <w:tr>
        <w:tc>
          <w:tcPr>
            <w:tcW w:type="dxa" w:w="1728"/>
          </w:tcPr>
          <w:p>
            <w:r>
              <w:rPr>
                <w:rFonts w:ascii="Calibri" w:hAnsi="Calibri"/>
                <w:sz w:val="22"/>
              </w:rPr>
              <w:t>FY 2026 737 Deliveries</w:t>
            </w:r>
          </w:p>
        </w:tc>
        <w:tc>
          <w:tcPr>
            <w:tcW w:type="dxa" w:w="1728"/>
          </w:tcPr>
          <w:p>
            <w:r>
              <w:rPr>
                <w:rFonts w:ascii="Calibri" w:hAnsi="Calibri"/>
                <w:sz w:val="22"/>
              </w:rPr>
              <w:t>~500 aircraft</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Wiring nonconformance (25 aircraft) fully resolved; no impact to FY goal</w:t>
            </w:r>
          </w:p>
        </w:tc>
      </w:tr>
      <w:tr>
        <w:tc>
          <w:tcPr>
            <w:tcW w:type="dxa" w:w="1728"/>
          </w:tcPr>
          <w:p>
            <w:r>
              <w:rPr>
                <w:rFonts w:ascii="Calibri" w:hAnsi="Calibri"/>
                <w:sz w:val="22"/>
              </w:rPr>
              <w:t>FY 2026 787 Deliveries</w:t>
            </w:r>
          </w:p>
        </w:tc>
        <w:tc>
          <w:tcPr>
            <w:tcW w:type="dxa" w:w="1728"/>
          </w:tcPr>
          <w:p>
            <w:r>
              <w:rPr>
                <w:rFonts w:ascii="Calibri" w:hAnsi="Calibri"/>
                <w:sz w:val="22"/>
              </w:rPr>
              <w:t>90–100 aircraft</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Premium seat certification delays remain a risk; GE engine timing also a constraint</w:t>
            </w:r>
          </w:p>
        </w:tc>
      </w:tr>
      <w:tr>
        <w:tc>
          <w:tcPr>
            <w:tcW w:type="dxa" w:w="1728"/>
          </w:tcPr>
          <w:p>
            <w:r>
              <w:rPr>
                <w:rFonts w:ascii="Calibri" w:hAnsi="Calibri"/>
                <w:sz w:val="22"/>
              </w:rPr>
              <w:t>BDS Operating Margin (FY 2026)</w:t>
            </w:r>
          </w:p>
        </w:tc>
        <w:tc>
          <w:tcPr>
            <w:tcW w:type="dxa" w:w="1728"/>
          </w:tcPr>
          <w:p>
            <w:r>
              <w:rPr>
                <w:rFonts w:ascii="Calibri" w:hAnsi="Calibri"/>
                <w:sz w:val="22"/>
              </w:rPr>
              <w:t>~3.5%</w:t>
            </w:r>
          </w:p>
        </w:tc>
        <w:tc>
          <w:tcPr>
            <w:tcW w:type="dxa" w:w="1728"/>
          </w:tcPr>
          <w:p>
            <w:r>
              <w:rPr>
                <w:rFonts w:ascii="Calibri" w:hAnsi="Calibri"/>
                <w:sz w:val="22"/>
              </w:rPr>
              <w:t>— Unchanged</w:t>
            </w:r>
          </w:p>
        </w:tc>
        <w:tc>
          <w:tcPr>
            <w:tcW w:type="dxa" w:w="1728"/>
          </w:tcPr>
          <w:p>
            <w:r>
              <w:rPr>
                <w:rFonts w:ascii="Calibri" w:hAnsi="Calibri"/>
                <w:sz w:val="22"/>
              </w:rPr>
              <w:t>~3.5% (FY consensus)</w:t>
            </w:r>
          </w:p>
        </w:tc>
        <w:tc>
          <w:tcPr>
            <w:tcW w:type="dxa" w:w="1728"/>
          </w:tcPr>
          <w:p>
            <w:r>
              <w:rPr>
                <w:rFonts w:ascii="Calibri" w:hAnsi="Calibri"/>
                <w:sz w:val="22"/>
              </w:rPr>
              <w:t>Consensus aligned with guidance; path to high-single-digit margins is multi-year</w:t>
            </w:r>
          </w:p>
        </w:tc>
      </w:tr>
      <w:tr>
        <w:tc>
          <w:tcPr>
            <w:tcW w:type="dxa" w:w="1728"/>
          </w:tcPr>
          <w:p>
            <w:r>
              <w:rPr>
                <w:rFonts w:ascii="Calibri" w:hAnsi="Calibri"/>
                <w:sz w:val="22"/>
              </w:rPr>
              <w:t>BCA Operating Margin</w:t>
            </w:r>
          </w:p>
        </w:tc>
        <w:tc>
          <w:tcPr>
            <w:tcW w:type="dxa" w:w="1728"/>
          </w:tcPr>
          <w:p>
            <w:r>
              <w:rPr>
                <w:rFonts w:ascii="Calibri" w:hAnsi="Calibri"/>
                <w:sz w:val="22"/>
              </w:rPr>
              <w:t>Progressive sequential improvement; positive by mid-2027</w:t>
            </w:r>
          </w:p>
        </w:tc>
        <w:tc>
          <w:tcPr>
            <w:tcW w:type="dxa" w:w="1728"/>
          </w:tcPr>
          <w:p>
            <w:r>
              <w:rPr>
                <w:rFonts w:ascii="Calibri" w:hAnsi="Calibri"/>
                <w:sz w:val="22"/>
              </w:rPr>
              <w:t>— Unchanged</w:t>
            </w:r>
          </w:p>
        </w:tc>
        <w:tc>
          <w:tcPr>
            <w:tcW w:type="dxa" w:w="1728"/>
          </w:tcPr>
          <w:p>
            <w:r>
              <w:rPr>
                <w:rFonts w:ascii="Calibri" w:hAnsi="Calibri"/>
                <w:sz w:val="22"/>
              </w:rPr>
              <w:t>-3.6% Q2 2026E</w:t>
            </w:r>
          </w:p>
        </w:tc>
        <w:tc>
          <w:tcPr>
            <w:tcW w:type="dxa" w:w="1728"/>
          </w:tcPr>
          <w:p>
            <w:r>
              <w:rPr>
                <w:rFonts w:ascii="Calibri" w:hAnsi="Calibri"/>
                <w:sz w:val="22"/>
              </w:rPr>
              <w:t>Spirit integration cost absorption remains headwind; North Line ramp initially dilutive</w:t>
            </w:r>
          </w:p>
        </w:tc>
      </w:tr>
      <w:tr>
        <w:tc>
          <w:tcPr>
            <w:tcW w:type="dxa" w:w="1728"/>
          </w:tcPr>
          <w:p>
            <w:r>
              <w:rPr>
                <w:rFonts w:ascii="Calibri" w:hAnsi="Calibri"/>
                <w:sz w:val="22"/>
              </w:rPr>
              <w:t>Q2 2026 FCF (Quarterly)</w:t>
            </w:r>
          </w:p>
        </w:tc>
        <w:tc>
          <w:tcPr>
            <w:tcW w:type="dxa" w:w="1728"/>
          </w:tcPr>
          <w:p>
            <w:r>
              <w:rPr>
                <w:rFonts w:ascii="Calibri" w:hAnsi="Calibri"/>
                <w:sz w:val="22"/>
              </w:rPr>
              <w:t>Low-hundreds-of-millions outflow</w:t>
            </w:r>
          </w:p>
        </w:tc>
        <w:tc>
          <w:tcPr>
            <w:tcW w:type="dxa" w:w="1728"/>
          </w:tcPr>
          <w:p>
            <w:r>
              <w:rPr>
                <w:rFonts w:ascii="Calibri" w:hAnsi="Calibri"/>
                <w:sz w:val="22"/>
              </w:rPr>
              <w:t>— Unchanged</w:t>
            </w:r>
          </w:p>
        </w:tc>
        <w:tc>
          <w:tcPr>
            <w:tcW w:type="dxa" w:w="1728"/>
          </w:tcPr>
          <w:p>
            <w:r>
              <w:rPr>
                <w:rFonts w:ascii="Calibri" w:hAnsi="Calibri"/>
                <w:sz w:val="22"/>
              </w:rPr>
              <w:t>-$0.4B</w:t>
            </w:r>
          </w:p>
        </w:tc>
        <w:tc>
          <w:tcPr>
            <w:tcW w:type="dxa" w:w="1728"/>
          </w:tcPr>
          <w:p>
            <w:r>
              <w:rPr>
                <w:rFonts w:ascii="Calibri" w:hAnsi="Calibri"/>
                <w:sz w:val="22"/>
              </w:rPr>
              <w:t>Consensus -$0.4B; within management's guided range; H2 expected to turn positive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moved up since the Q1 print — revenue consensus rose ~$0.6B and delivery consensus rose ~5 units — tracking management's constructive tone. FY 2026 FCF consensus of $2.5B sits comfortably within the $1–3B guidance range, suggesting the street sees the guidance as achievable but not aggressive.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27,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$23.6B</w:t>
            </w:r>
          </w:p>
        </w:tc>
        <w:tc>
          <w:tcPr>
            <w:tcW w:type="dxa" w:w="1080"/>
          </w:tcPr>
          <w:p>
            <w:r>
              <w:rPr>
                <w:rFonts w:ascii="Calibri" w:hAnsi="Calibri"/>
                <w:sz w:val="22"/>
              </w:rPr>
              <w:t>$24.2B</w:t>
            </w:r>
          </w:p>
        </w:tc>
        <w:tc>
          <w:tcPr>
            <w:tcW w:type="dxa" w:w="1080"/>
          </w:tcPr>
          <w:p>
            <w:r>
              <w:rPr>
                <w:rFonts w:ascii="Calibri" w:hAnsi="Calibri"/>
                <w:sz w:val="22"/>
              </w:rPr>
              <w:t>+2.5%</w:t>
            </w:r>
          </w:p>
        </w:tc>
        <w:tc>
          <w:tcPr>
            <w:tcW w:type="dxa" w:w="1080"/>
          </w:tcPr>
          <w:p>
            <w:r>
              <w:rPr>
                <w:rFonts w:ascii="Calibri" w:hAnsi="Calibri"/>
                <w:sz w:val="22"/>
              </w:rPr>
              <w:t>No explicit Q2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$96.9B</w:t>
            </w:r>
          </w:p>
        </w:tc>
        <w:tc>
          <w:tcPr>
            <w:tcW w:type="dxa" w:w="1080"/>
          </w:tcPr>
          <w:p>
            <w:r>
              <w:rPr>
                <w:rFonts w:ascii="Calibri" w:hAnsi="Calibri"/>
                <w:sz w:val="22"/>
              </w:rPr>
              <w:t>$97.6B</w:t>
            </w:r>
          </w:p>
        </w:tc>
        <w:tc>
          <w:tcPr>
            <w:tcW w:type="dxa" w:w="1080"/>
          </w:tcPr>
          <w:p>
            <w:r>
              <w:rPr>
                <w:rFonts w:ascii="Calibri" w:hAnsi="Calibri"/>
                <w:sz w:val="22"/>
              </w:rPr>
              <w:t>+0.8%</w:t>
            </w:r>
          </w:p>
        </w:tc>
        <w:tc>
          <w:tcPr>
            <w:tcW w:type="dxa" w:w="1080"/>
          </w:tcPr>
          <w:p>
            <w:r>
              <w:rPr>
                <w:rFonts w:ascii="Calibri" w:hAnsi="Calibri"/>
                <w:sz w:val="22"/>
              </w:rPr>
              <w:t>No explicit FY rev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Commercial Deliveries — Q2 2026</w:t>
            </w:r>
          </w:p>
        </w:tc>
        <w:tc>
          <w:tcPr>
            <w:tcW w:type="dxa" w:w="1080"/>
          </w:tcPr>
          <w:p>
            <w:r>
              <w:rPr>
                <w:rFonts w:ascii="Calibri" w:hAnsi="Calibri"/>
                <w:sz w:val="22"/>
              </w:rPr>
              <w:t>~162</w:t>
            </w:r>
          </w:p>
        </w:tc>
        <w:tc>
          <w:tcPr>
            <w:tcW w:type="dxa" w:w="1080"/>
          </w:tcPr>
          <w:p>
            <w:r>
              <w:rPr>
                <w:rFonts w:ascii="Calibri" w:hAnsi="Calibri"/>
                <w:sz w:val="22"/>
              </w:rPr>
              <w:t>167</w:t>
            </w:r>
          </w:p>
        </w:tc>
        <w:tc>
          <w:tcPr>
            <w:tcW w:type="dxa" w:w="1080"/>
          </w:tcPr>
          <w:p>
            <w:r>
              <w:rPr>
                <w:rFonts w:ascii="Calibri" w:hAnsi="Calibri"/>
                <w:sz w:val="22"/>
              </w:rPr>
              <w:t>+3.1%</w:t>
            </w:r>
          </w:p>
        </w:tc>
        <w:tc>
          <w:tcPr>
            <w:tcW w:type="dxa" w:w="1080"/>
          </w:tcPr>
          <w:p>
            <w:r>
              <w:rPr>
                <w:rFonts w:ascii="Calibri" w:hAnsi="Calibri"/>
                <w:sz w:val="22"/>
              </w:rPr>
              <w:t>~500 FY (no Q2 specific)</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Commercial Deliveries — FY 2026</w:t>
            </w:r>
          </w:p>
        </w:tc>
        <w:tc>
          <w:tcPr>
            <w:tcW w:type="dxa" w:w="1080"/>
          </w:tcPr>
          <w:p>
            <w:r>
              <w:rPr>
                <w:rFonts w:ascii="Calibri" w:hAnsi="Calibri"/>
                <w:sz w:val="22"/>
              </w:rPr>
              <w:t>~663</w:t>
            </w:r>
          </w:p>
        </w:tc>
        <w:tc>
          <w:tcPr>
            <w:tcW w:type="dxa" w:w="1080"/>
          </w:tcPr>
          <w:p>
            <w:r>
              <w:rPr>
                <w:rFonts w:ascii="Calibri" w:hAnsi="Calibri"/>
                <w:sz w:val="22"/>
              </w:rPr>
              <w:t>~668</w:t>
            </w:r>
          </w:p>
        </w:tc>
        <w:tc>
          <w:tcPr>
            <w:tcW w:type="dxa" w:w="1080"/>
          </w:tcPr>
          <w:p>
            <w:r>
              <w:rPr>
                <w:rFonts w:ascii="Calibri" w:hAnsi="Calibri"/>
                <w:sz w:val="22"/>
              </w:rPr>
              <w:t>+0.8%</w:t>
            </w:r>
          </w:p>
        </w:tc>
        <w:tc>
          <w:tcPr>
            <w:tcW w:type="dxa" w:w="1080"/>
          </w:tcPr>
          <w:p>
            <w:r>
              <w:rPr>
                <w:rFonts w:ascii="Calibri" w:hAnsi="Calibri"/>
                <w:sz w:val="22"/>
              </w:rPr>
              <w:t>~500</w:t>
            </w:r>
          </w:p>
        </w:tc>
        <w:tc>
          <w:tcPr>
            <w:tcW w:type="dxa" w:w="1080"/>
          </w:tcPr>
          <w:p>
            <w:r>
              <w:rPr>
                <w:rFonts w:ascii="Calibri" w:hAnsi="Calibri"/>
                <w:sz w:val="22"/>
              </w:rPr>
              <w:t>~500 (unchanged)</w:t>
            </w:r>
          </w:p>
        </w:tc>
        <w:tc>
          <w:tcPr>
            <w:tcW w:type="dxa" w:w="1080"/>
          </w:tcPr>
          <w:p>
            <w:r>
              <w:rPr>
                <w:rFonts w:ascii="Calibri" w:hAnsi="Calibri"/>
                <w:sz w:val="22"/>
              </w:rPr>
              <w:t>0%</w:t>
            </w:r>
          </w:p>
        </w:tc>
        <w:tc>
          <w:tcPr>
            <w:tcW w:type="dxa" w:w="1080"/>
          </w:tcPr>
          <w:p>
            <w:r>
              <w:rPr>
                <w:rFonts w:ascii="Calibri" w:hAnsi="Calibri"/>
                <w:sz w:val="22"/>
              </w:rPr>
              <w:t>+33.6% above guide</w:t>
            </w:r>
          </w:p>
        </w:tc>
      </w:tr>
      <w:tr>
        <w:tc>
          <w:tcPr>
            <w:tcW w:type="dxa" w:w="1080"/>
          </w:tcPr>
          <w:p>
            <w:r>
              <w:rPr>
                <w:rFonts w:ascii="Calibri" w:hAnsi="Calibri"/>
                <w:sz w:val="22"/>
              </w:rPr>
              <w:t>Free Cash Flow — Q2 2026</w:t>
            </w:r>
          </w:p>
        </w:tc>
        <w:tc>
          <w:tcPr>
            <w:tcW w:type="dxa" w:w="1080"/>
          </w:tcPr>
          <w:p>
            <w:r>
              <w:rPr>
                <w:rFonts w:ascii="Calibri" w:hAnsi="Calibri"/>
                <w:sz w:val="22"/>
              </w:rPr>
              <w:t>-$0.2B</w:t>
            </w:r>
          </w:p>
        </w:tc>
        <w:tc>
          <w:tcPr>
            <w:tcW w:type="dxa" w:w="1080"/>
          </w:tcPr>
          <w:p>
            <w:r>
              <w:rPr>
                <w:rFonts w:ascii="Calibri" w:hAnsi="Calibri"/>
                <w:sz w:val="22"/>
              </w:rPr>
              <w:t>-$0.4B</w:t>
            </w:r>
          </w:p>
        </w:tc>
        <w:tc>
          <w:tcPr>
            <w:tcW w:type="dxa" w:w="1080"/>
          </w:tcPr>
          <w:p>
            <w:r>
              <w:rPr>
                <w:rFonts w:ascii="Calibri" w:hAnsi="Calibri"/>
                <w:sz w:val="22"/>
              </w:rPr>
              <w:t>-100% (worse)</w:t>
            </w:r>
          </w:p>
        </w:tc>
        <w:tc>
          <w:tcPr>
            <w:tcW w:type="dxa" w:w="1080"/>
          </w:tcPr>
          <w:p>
            <w:r>
              <w:rPr>
                <w:rFonts w:ascii="Calibri" w:hAnsi="Calibri"/>
                <w:sz w:val="22"/>
              </w:rPr>
              <w:t>Low-hundreds-of-millions outflow</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Within guided range</w:t>
            </w:r>
          </w:p>
        </w:tc>
      </w:tr>
      <w:tr>
        <w:tc>
          <w:tcPr>
            <w:tcW w:type="dxa" w:w="1080"/>
          </w:tcPr>
          <w:p>
            <w:r>
              <w:rPr>
                <w:rFonts w:ascii="Calibri" w:hAnsi="Calibri"/>
                <w:sz w:val="22"/>
              </w:rPr>
              <w:t>Free Cash Flow — FY 2026</w:t>
            </w:r>
          </w:p>
        </w:tc>
        <w:tc>
          <w:tcPr>
            <w:tcW w:type="dxa" w:w="1080"/>
          </w:tcPr>
          <w:p>
            <w:r>
              <w:rPr>
                <w:rFonts w:ascii="Calibri" w:hAnsi="Calibri"/>
                <w:sz w:val="22"/>
              </w:rPr>
              <w:t>$2.7B</w:t>
            </w:r>
          </w:p>
        </w:tc>
        <w:tc>
          <w:tcPr>
            <w:tcW w:type="dxa" w:w="1080"/>
          </w:tcPr>
          <w:p>
            <w:r>
              <w:rPr>
                <w:rFonts w:ascii="Calibri" w:hAnsi="Calibri"/>
                <w:sz w:val="22"/>
              </w:rPr>
              <w:t>$2.5B</w:t>
            </w:r>
          </w:p>
        </w:tc>
        <w:tc>
          <w:tcPr>
            <w:tcW w:type="dxa" w:w="1080"/>
          </w:tcPr>
          <w:p>
            <w:r>
              <w:rPr>
                <w:rFonts w:ascii="Calibri" w:hAnsi="Calibri"/>
                <w:sz w:val="22"/>
              </w:rPr>
              <w:t>-7.4%</w:t>
            </w:r>
          </w:p>
        </w:tc>
        <w:tc>
          <w:tcPr>
            <w:tcW w:type="dxa" w:w="1080"/>
          </w:tcPr>
          <w:p>
            <w:r>
              <w:rPr>
                <w:rFonts w:ascii="Calibri" w:hAnsi="Calibri"/>
                <w:sz w:val="22"/>
              </w:rPr>
              <w:t>$1B–$3B positive</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Within guided range; midpoint $2B</w:t>
            </w:r>
          </w:p>
        </w:tc>
      </w:tr>
      <w:tr>
        <w:tc>
          <w:tcPr>
            <w:tcW w:type="dxa" w:w="1080"/>
          </w:tcPr>
          <w:p>
            <w:r>
              <w:rPr>
                <w:rFonts w:ascii="Calibri" w:hAnsi="Calibri"/>
                <w:sz w:val="22"/>
              </w:rPr>
              <w:t>Core EPS (Operating) — Q2 2026</w:t>
            </w:r>
          </w:p>
        </w:tc>
        <w:tc>
          <w:tcPr>
            <w:tcW w:type="dxa" w:w="1080"/>
          </w:tcPr>
          <w:p>
            <w:r>
              <w:rPr>
                <w:rFonts w:ascii="Calibri" w:hAnsi="Calibri"/>
                <w:sz w:val="22"/>
              </w:rPr>
              <w:t>-$0.15</w:t>
            </w:r>
          </w:p>
        </w:tc>
        <w:tc>
          <w:tcPr>
            <w:tcW w:type="dxa" w:w="1080"/>
          </w:tcPr>
          <w:p>
            <w:r>
              <w:rPr>
                <w:rFonts w:ascii="Calibri" w:hAnsi="Calibri"/>
                <w:sz w:val="22"/>
              </w:rPr>
              <w:t>-$0.19</w:t>
            </w:r>
          </w:p>
        </w:tc>
        <w:tc>
          <w:tcPr>
            <w:tcW w:type="dxa" w:w="1080"/>
          </w:tcPr>
          <w:p>
            <w:r>
              <w:rPr>
                <w:rFonts w:ascii="Calibri" w:hAnsi="Calibri"/>
                <w:sz w:val="22"/>
              </w:rPr>
              <w:t>-26.7% (worse)</w:t>
            </w:r>
          </w:p>
        </w:tc>
        <w:tc>
          <w:tcPr>
            <w:tcW w:type="dxa" w:w="1080"/>
          </w:tcPr>
          <w:p>
            <w:r>
              <w:rPr>
                <w:rFonts w:ascii="Calibri" w:hAnsi="Calibri"/>
                <w:sz w:val="22"/>
              </w:rPr>
              <w:t>No explicit EPS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EPS (Operating) — FY 2026</w:t>
            </w:r>
          </w:p>
        </w:tc>
        <w:tc>
          <w:tcPr>
            <w:tcW w:type="dxa" w:w="1080"/>
          </w:tcPr>
          <w:p>
            <w:r>
              <w:rPr>
                <w:rFonts w:ascii="Calibri" w:hAnsi="Calibri"/>
                <w:sz w:val="22"/>
              </w:rPr>
              <w:t>+$0.12</w:t>
            </w:r>
          </w:p>
        </w:tc>
        <w:tc>
          <w:tcPr>
            <w:tcW w:type="dxa" w:w="1080"/>
          </w:tcPr>
          <w:p>
            <w:r>
              <w:rPr>
                <w:rFonts w:ascii="Calibri" w:hAnsi="Calibri"/>
                <w:sz w:val="22"/>
              </w:rPr>
              <w:t>-$0.17</w:t>
            </w:r>
          </w:p>
        </w:tc>
        <w:tc>
          <w:tcPr>
            <w:tcW w:type="dxa" w:w="1080"/>
          </w:tcPr>
          <w:p>
            <w:r>
              <w:rPr>
                <w:rFonts w:ascii="Calibri" w:hAnsi="Calibri"/>
                <w:sz w:val="22"/>
              </w:rPr>
              <w:t>N/M (sign flip)</w:t>
            </w:r>
          </w:p>
        </w:tc>
        <w:tc>
          <w:tcPr>
            <w:tcW w:type="dxa" w:w="1080"/>
          </w:tcPr>
          <w:p>
            <w:r>
              <w:rPr>
                <w:rFonts w:ascii="Calibri" w:hAnsi="Calibri"/>
                <w:sz w:val="22"/>
              </w:rPr>
              <w:t>No explicit EPS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as of April 27, 2026 (5 trading days after April 22 earnings). Current consensus as of July 27, 2026. Delivery consensus materially above management's ~500 guide, reflecting market expectation that the guide is conservative given the rate-47 ramp. FY 2026 FCF consensus of $2.5B sits within the $1–3B guidance range.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BA has underperformed ITA by ~19 points and the S&amp;P 500 by ~13 points since the Q1 2026 earnings date, driven by Boeing-specific headwinds (China order disappointment, SPEEA labor risk, 787 seat certification drag) rather than any deterioration in aerospace demand. The underperformance is multiple compression, not earnings-driven — a positive Q2 print could close part of this gap.</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BA vs. ITA vs. S&amp;P 500 — Indexed to 100 at Q1 2026 Earnings (April 22, 2026). Source: Yahoo Finance / Stock Price Data.</w:t>
      </w:r>
    </w:p>
    <w:p>
      <w:r>
        <w:rPr>
          <w:rFonts w:ascii="Calibri" w:hAnsi="Calibri"/>
          <w:color w:val="525866"/>
          <w:sz w:val="22"/>
        </w:rPr>
        <w:t xml:space="preserve">Since the Q1 2026 earnings date (April 22, 2026), BA has declined approximately 9.4% (from $231.28 to $209.56 as of July 24, 2026), while ITA has rallied approximately 9.6% and the S&amp;P 500 has gained approximately 3.9%. The ~19-point gap vs. ITA is striking given that the broader aerospace demand environment has been uniformly positive — GE Aerospace, RTX, and Lockheed Martin all reported strong Q2 results and raised guidance. The BA-specific headwinds driving the underperformance include: (1) the China order announcement on May 14–15 came in at 200 jets vs. 500+ expected, triggering a ~4% single-day decline; (2) SPEEA labor contract expiry in October 2026 introduces strike risk; and (3) 787 seat certification delays and GE engine timing constraints cloud the path to rate 10. The stock found a near-term floor around $209–$210 in late July, with the RTX and LMT Q2 beats on July 23 providing a modest lift to the sector. </w:t>
      </w:r>
    </w:p>
    <w:p>
      <w:r>
        <w:rPr>
          <w:rFonts w:ascii="Calibri" w:hAnsi="Calibri"/>
          <w:b/>
          <w:color w:val="525866"/>
          <w:sz w:val="22"/>
        </w:rPr>
        <w:t xml:space="preserve">Key events marked on chart: </w:t>
      </w:r>
      <w:r>
        <w:rPr>
          <w:rFonts w:ascii="Calibri" w:hAnsi="Calibri"/>
          <w:color w:val="525866"/>
          <w:sz w:val="22"/>
        </w:rPr>
        <w:t>China order announcement (May 14–15, -4%); Bernstein Conference / rate-47 confirmation (May 27); China order confirmed at 200 jets (May 20); RTX/LMT Q2 beats (July 23).</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China 200-jet commitment — a market reopening after nearly a decade, but smaller than expected and not yet in the order backlog. The F/A-XX downselect in August is the next binary catalyst.</w:t>
      </w:r>
    </w:p>
    <w:p>
      <w:pPr>
        <w:pStyle w:val="ListBullet"/>
        <w:ind w:left="360" w:hanging="360"/>
      </w:pPr>
      <w:r>
        <w:rPr>
          <w:rFonts w:ascii="Calibri" w:hAnsi="Calibri"/>
          <w:b/>
          <w:color w:val="525866"/>
          <w:sz w:val="22"/>
        </w:rPr>
        <w:t>May 14–15, 2026 — China 200-jet commitment announced during Trump-Xi summit.</w:t>
      </w:r>
      <w:r>
        <w:rPr>
          <w:rFonts w:ascii="Calibri" w:hAnsi="Calibri"/>
          <w:color w:val="525866"/>
          <w:sz w:val="22"/>
        </w:rPr>
        <w:t xml:space="preserve"> Trump announced China agreed to purchase 200 Boeing jets (mix of 737 MAX and 777), with potential to rise to 750. Actual commitment came in well below the 500+ narrowbody order the market had anticipated, triggering a ~4% single-day stock decline. CEO Ortberg characterized the 200-unit commitment as an 'initial tranche' with more to follow; firm orders require government allocation to individual Chinese airlines before booking. </w:t>
      </w:r>
    </w:p>
    <w:p>
      <w:pPr>
        <w:pStyle w:val="ListBullet"/>
        <w:ind w:left="360" w:hanging="360"/>
      </w:pPr>
      <w:r>
        <w:rPr>
          <w:rFonts w:ascii="Calibri" w:hAnsi="Calibri"/>
          <w:b/>
          <w:color w:val="525866"/>
          <w:sz w:val="22"/>
        </w:rPr>
        <w:t>Implication:</w:t>
      </w:r>
      <w:r>
        <w:rPr>
          <w:rFonts w:ascii="Calibri" w:hAnsi="Calibri"/>
          <w:color w:val="525866"/>
          <w:sz w:val="22"/>
        </w:rPr>
        <w:t xml:space="preserve"> Positive long-term (China market reopening after ~decade), but near-term disappointment vs. expectations. Pre-delivery payments not expected to materially affect FY 2026 FCF guidance.</w:t>
      </w:r>
    </w:p>
    <w:p>
      <w:pPr>
        <w:pStyle w:val="ListBullet"/>
        <w:ind w:left="360" w:hanging="360"/>
      </w:pPr>
      <w:r>
        <w:rPr>
          <w:rFonts w:ascii="Calibri" w:hAnsi="Calibri"/>
          <w:b/>
          <w:color w:val="525866"/>
          <w:sz w:val="22"/>
        </w:rPr>
        <w:t>May 27, 2026 — Bernstein Conference: Rate-47 FAA capstone review passed.</w:t>
      </w:r>
      <w:r>
        <w:rPr>
          <w:rFonts w:ascii="Calibri" w:hAnsi="Calibri"/>
          <w:color w:val="525866"/>
          <w:sz w:val="22"/>
        </w:rPr>
        <w:t xml:space="preserve"> CEO Ortberg confirmed Boeing passed the FAA capstone review for rate 47 and is actively running the Renton line at that rate, with full stabilization expected within a few months. This is a key operational milestone validating the production ramp narrative. </w:t>
      </w:r>
    </w:p>
    <w:p>
      <w:pPr>
        <w:pStyle w:val="ListBullet"/>
        <w:ind w:left="360" w:hanging="360"/>
      </w:pPr>
      <w:r>
        <w:rPr>
          <w:rFonts w:ascii="Calibri" w:hAnsi="Calibri"/>
          <w:b/>
          <w:color w:val="525866"/>
          <w:sz w:val="22"/>
        </w:rPr>
        <w:t>Implication:</w:t>
      </w:r>
      <w:r>
        <w:rPr>
          <w:rFonts w:ascii="Calibri" w:hAnsi="Calibri"/>
          <w:color w:val="525866"/>
          <w:sz w:val="22"/>
        </w:rPr>
        <w:t xml:space="preserve"> Removes a key execution risk; supports Q2 delivery step-up to ~167 consensus. Rate 52 transition (via Everett North Line) expected to take longer than the 42→47 step.</w:t>
      </w:r>
    </w:p>
    <w:p>
      <w:pPr>
        <w:pStyle w:val="ListBullet"/>
        <w:ind w:left="360" w:hanging="360"/>
      </w:pPr>
      <w:r>
        <w:rPr>
          <w:rFonts w:ascii="Calibri" w:hAnsi="Calibri"/>
          <w:b/>
          <w:color w:val="525866"/>
          <w:sz w:val="22"/>
        </w:rPr>
        <w:t>July 1, 2026 — Boeing announces Q2 2026 earnings date of July 28.</w:t>
      </w:r>
      <w:r>
        <w:rPr>
          <w:rFonts w:ascii="Calibri" w:hAnsi="Calibri"/>
          <w:color w:val="525866"/>
          <w:sz w:val="22"/>
        </w:rPr>
        <w:t xml:space="preserve"> Standard press release confirming reporting schedule.</w:t>
      </w:r>
    </w:p>
    <w:p>
      <w:pPr>
        <w:pStyle w:val="ListBullet"/>
        <w:ind w:left="360" w:hanging="360"/>
      </w:pPr>
      <w:r>
        <w:rPr>
          <w:rFonts w:ascii="Calibri" w:hAnsi="Calibri"/>
          <w:b/>
          <w:color w:val="525866"/>
          <w:sz w:val="22"/>
        </w:rPr>
        <w:t>July 2, 2026 — China Southern $3.62B deal signed.</w:t>
      </w:r>
      <w:r>
        <w:rPr>
          <w:rFonts w:ascii="Calibri" w:hAnsi="Calibri"/>
          <w:color w:val="525866"/>
          <w:sz w:val="22"/>
        </w:rPr>
        <w:t xml:space="preserve"> Boeing secured a firm order from China Southern Airlines, the first concrete conversion of the May commitment into a booked order. </w:t>
      </w:r>
    </w:p>
    <w:p>
      <w:pPr>
        <w:pStyle w:val="ListBullet"/>
        <w:ind w:left="360" w:hanging="360"/>
      </w:pPr>
      <w:r>
        <w:rPr>
          <w:rFonts w:ascii="Calibri" w:hAnsi="Calibri"/>
          <w:b/>
          <w:color w:val="525866"/>
          <w:sz w:val="22"/>
        </w:rPr>
        <w:t>Implication:</w:t>
      </w:r>
      <w:r>
        <w:rPr>
          <w:rFonts w:ascii="Calibri" w:hAnsi="Calibri"/>
          <w:color w:val="525866"/>
          <w:sz w:val="22"/>
        </w:rPr>
        <w:t xml:space="preserve"> Validates the conversion pathway from commitment to firm order; positive for backlog and long-term revenue visibility.</w:t>
      </w:r>
    </w:p>
    <w:p>
      <w:pPr>
        <w:pStyle w:val="ListBullet"/>
        <w:ind w:left="360" w:hanging="360"/>
      </w:pPr>
      <w:r>
        <w:rPr>
          <w:rFonts w:ascii="Calibri" w:hAnsi="Calibri"/>
          <w:b/>
          <w:color w:val="525866"/>
          <w:sz w:val="22"/>
        </w:rPr>
        <w:t>July 19, 2026 — Boeing's opening offer to SPEEA imminent.</w:t>
      </w:r>
      <w:r>
        <w:rPr>
          <w:rFonts w:ascii="Calibri" w:hAnsi="Calibri"/>
          <w:color w:val="525866"/>
          <w:sz w:val="22"/>
        </w:rPr>
        <w:t xml:space="preserve"> Reports indicate Boeing's opening offer to the SPEEA engineering union (covering ~16,000 Puget Sound engineers) may come as early as the week of July 19–25. The SPEEA contract expires in October 2026. </w:t>
      </w:r>
    </w:p>
    <w:p>
      <w:pPr>
        <w:pStyle w:val="ListBullet"/>
        <w:ind w:left="360" w:hanging="360"/>
      </w:pPr>
      <w:r>
        <w:rPr>
          <w:rFonts w:ascii="Calibri" w:hAnsi="Calibri"/>
          <w:b/>
          <w:color w:val="525866"/>
          <w:sz w:val="22"/>
        </w:rPr>
        <w:t>Implication:</w:t>
      </w:r>
      <w:r>
        <w:rPr>
          <w:rFonts w:ascii="Calibri" w:hAnsi="Calibri"/>
          <w:color w:val="525866"/>
          <w:sz w:val="22"/>
        </w:rPr>
        <w:t xml:space="preserve"> Labor risk is the most underappreciated near-term headwind. A repeat of the 2024 machinist strike would be severely disruptive to the production ramp. Management flagged this on the Q1 call; the Wichita SPEEA ratification in January 2026 sets a benchmark.</w:t>
      </w:r>
    </w:p>
    <w:p>
      <w:pPr>
        <w:pStyle w:val="ListBullet"/>
        <w:ind w:left="360" w:hanging="360"/>
      </w:pPr>
      <w:r>
        <w:rPr>
          <w:rFonts w:ascii="Calibri" w:hAnsi="Calibri"/>
          <w:b/>
          <w:color w:val="525866"/>
          <w:sz w:val="22"/>
        </w:rPr>
        <w:t>August 2026 (upcoming) — F/A-XX Navy fighter downselect.</w:t>
      </w:r>
      <w:r>
        <w:rPr>
          <w:rFonts w:ascii="Calibri" w:hAnsi="Calibri"/>
          <w:color w:val="525866"/>
          <w:sz w:val="22"/>
        </w:rPr>
        <w:t xml:space="preserve"> Boeing and Northrop Grumman are the two finalists for the Navy's sixth-generation carrier fighter. CNO Admiral Caudle confirmed the downselect is expected in August 2026. Congress inserted $897M into the FY2026 defense bill (12x increase from prior year), signaling strong commitment to the program. </w:t>
      </w:r>
    </w:p>
    <w:p>
      <w:pPr>
        <w:pStyle w:val="ListBullet"/>
        <w:ind w:left="360" w:hanging="360"/>
      </w:pPr>
      <w:r>
        <w:rPr>
          <w:rFonts w:ascii="Calibri" w:hAnsi="Calibri"/>
          <w:b/>
          <w:color w:val="525866"/>
          <w:sz w:val="22"/>
        </w:rPr>
        <w:t>Implication:</w:t>
      </w:r>
      <w:r>
        <w:rPr>
          <w:rFonts w:ascii="Calibri" w:hAnsi="Calibri"/>
          <w:color w:val="525866"/>
          <w:sz w:val="22"/>
        </w:rPr>
        <w:t xml:space="preserve"> Binary catalyst. A Boeing win would be transformational for BDS, complementing the F-47 Air Force win. A loss removes a key near-term catalyst and would weigh on BDS growth expectations.</w:t>
      </w:r>
    </w:p>
    <w:p>
      <w:pPr>
        <w:pStyle w:val="ListBullet"/>
        <w:ind w:left="360" w:hanging="360"/>
      </w:pPr>
      <w:r>
        <w:rPr>
          <w:rFonts w:ascii="Calibri" w:hAnsi="Calibri"/>
          <w:b/>
          <w:color w:val="525866"/>
          <w:sz w:val="22"/>
        </w:rPr>
        <w:t>GE Aerospace Q2 2026 (July 16) — Leap engine deliveries up 41% in H1 2026.</w:t>
      </w:r>
      <w:r>
        <w:rPr>
          <w:rFonts w:ascii="Calibri" w:hAnsi="Calibri"/>
          <w:color w:val="525866"/>
          <w:sz w:val="22"/>
        </w:rPr>
        <w:t xml:space="preserve"> GE raised full-year commercial equipment growth guidance to ~20% (from mid-to-high teens), with Leap deliveries up high-teens. GE confirmed Boeing will 'take every engine we can possibly deliver' and noted Boeing's Charleston plant has planes with engines not yet delivered. </w:t>
      </w:r>
    </w:p>
    <w:p>
      <w:pPr>
        <w:pStyle w:val="ListBullet"/>
        <w:ind w:left="360" w:hanging="360"/>
      </w:pPr>
      <w:r>
        <w:rPr>
          <w:rFonts w:ascii="Calibri" w:hAnsi="Calibri"/>
          <w:b/>
          <w:color w:val="525866"/>
          <w:sz w:val="22"/>
        </w:rPr>
        <w:t>Implication:</w:t>
      </w:r>
      <w:r>
        <w:rPr>
          <w:rFonts w:ascii="Calibri" w:hAnsi="Calibri"/>
          <w:color w:val="525866"/>
          <w:sz w:val="22"/>
        </w:rPr>
        <w:t xml:space="preserve"> Strong engine supply read-through for 737 MAX and 787 production ramp. GE's engine delivery recovery plan for 787 rate-10 is a key watch item.</w:t>
      </w:r>
    </w:p>
    <w:p>
      <w:pPr>
        <w:pStyle w:val="ListBullet"/>
        <w:ind w:left="360" w:hanging="360"/>
      </w:pPr>
      <w:r>
        <w:rPr>
          <w:rFonts w:ascii="Calibri" w:hAnsi="Calibri"/>
          <w:b/>
          <w:color w:val="525866"/>
          <w:sz w:val="22"/>
        </w:rPr>
        <w:t>RTX Q2 2026 (July 23) — Collins commercial OE sales up 26%; confirmed 737 rate going to 47 and 787 going up.</w:t>
      </w:r>
      <w:r>
        <w:rPr>
          <w:rFonts w:ascii="Calibri" w:hAnsi="Calibri"/>
          <w:color w:val="525866"/>
          <w:sz w:val="22"/>
        </w:rPr>
        <w:t xml:space="preserve"> RTX confirmed rate increases on both 737 and 787 platforms, with Collins providing 'vast majority of systems' on 787. Supply chain castings and microelectronics remain watch areas. </w:t>
      </w:r>
    </w:p>
    <w:p>
      <w:pPr>
        <w:pStyle w:val="ListBullet"/>
        <w:ind w:left="360" w:hanging="360"/>
      </w:pPr>
      <w:r>
        <w:rPr>
          <w:rFonts w:ascii="Calibri" w:hAnsi="Calibri"/>
          <w:b/>
          <w:color w:val="525866"/>
          <w:sz w:val="22"/>
        </w:rPr>
        <w:t>Implication:</w:t>
      </w:r>
      <w:r>
        <w:rPr>
          <w:rFonts w:ascii="Calibri" w:hAnsi="Calibri"/>
          <w:color w:val="525866"/>
          <w:sz w:val="22"/>
        </w:rPr>
        <w:t xml:space="preserve"> Positive read-through for Boeing's delivery ramp; supply chain constraints are manageable but not fully resolved.</w:t>
      </w:r>
    </w:p>
    <w:p>
      <w:pPr>
        <w:pStyle w:val="ListBullet"/>
        <w:ind w:left="360" w:hanging="360"/>
      </w:pPr>
      <w:r>
        <w:rPr>
          <w:rFonts w:ascii="Calibri" w:hAnsi="Calibri"/>
          <w:b/>
          <w:color w:val="525866"/>
          <w:sz w:val="22"/>
        </w:rPr>
        <w:t>LMT Q2 2026 (July 23) — Record $230B backlog; book-to-bill 3.2x; raised FY guidance to 8% growth.</w:t>
      </w:r>
      <w:r>
        <w:rPr>
          <w:rFonts w:ascii="Calibri" w:hAnsi="Calibri"/>
          <w:color w:val="525866"/>
          <w:sz w:val="22"/>
        </w:rPr>
        <w:t xml:space="preserve"> Lockheed reported exceptionally strong defense demand, with F-35 production rate of 156/year expected to be sustained. Defense budget tailwinds (FY2027 base budget request of $1.1T, +10% YoY) are broad-based. </w:t>
      </w:r>
    </w:p>
    <w:p>
      <w:pPr>
        <w:pStyle w:val="ListBullet"/>
        <w:ind w:left="360" w:hanging="360"/>
      </w:pPr>
      <w:r>
        <w:rPr>
          <w:rFonts w:ascii="Calibri" w:hAnsi="Calibri"/>
          <w:b/>
          <w:color w:val="525866"/>
          <w:sz w:val="22"/>
        </w:rPr>
        <w:t>Implication:</w:t>
      </w:r>
      <w:r>
        <w:rPr>
          <w:rFonts w:ascii="Calibri" w:hAnsi="Calibri"/>
          <w:color w:val="525866"/>
          <w:sz w:val="22"/>
        </w:rPr>
        <w:t xml:space="preserve"> Positive read-through for Boeing's BDS segment; defense budget environment is the strongest in decades.</w:t>
      </w:r>
    </w:p>
    <w:p>
      <w:r>
        <w:br w:type="page"/>
      </w:r>
    </w:p>
    <w:p>
      <w:pPr>
        <w:pStyle w:val="Heading2"/>
      </w:pPr>
      <w:r>
        <w:rPr>
          <w:rFonts w:ascii="Calibri" w:hAnsi="Calibri"/>
          <w:b/>
          <w:color w:val="3B4259"/>
          <w:sz w:val="28"/>
        </w:rPr>
        <w:t>7. Peer Commentaries — Read-Through for Q2 2026</w:t>
      </w:r>
    </w:p>
    <w:p>
      <w:r>
        <w:rPr>
          <w:rFonts w:ascii="Calibri" w:hAnsi="Calibri"/>
          <w:b/>
          <w:color w:val="525866"/>
          <w:sz w:val="22"/>
        </w:rPr>
        <w:t xml:space="preserve">Key Takeaway: </w:t>
      </w:r>
      <w:r>
        <w:rPr>
          <w:rFonts w:ascii="Calibri" w:hAnsi="Calibri"/>
          <w:color w:val="525866"/>
          <w:sz w:val="22"/>
        </w:rPr>
        <w:t>Peer commentary since Boeing's Q1 2026 earnings (April 22) is uniformly constructive on commercial aerospace demand and defense spending — the read-through for Boeing's Q2 print is positive across all three segments. The primary risk flagged by peers is supply chain constraints (castings, microelectronics, engine timing), not demand.</w:t>
      </w:r>
    </w:p>
    <w:p>
      <w:r>
        <w:rPr>
          <w:rFonts w:ascii="Calibri" w:hAnsi="Calibri"/>
          <w:i/>
          <w:color w:val="525866"/>
          <w:sz w:val="22"/>
        </w:rPr>
        <w:t>Note: Only commentary from the period after Boeing's Q1 2026 earnings (April 22, 2026) through July 27, 2026 is included. This covers commentary about the current reporting environment (Q2 2026) and forward outlook, not retrospective Q1 results.</w:t>
      </w:r>
    </w:p>
    <w:p>
      <w:pPr>
        <w:pStyle w:val="Heading3"/>
      </w:pPr>
      <w:r>
        <w:rPr>
          <w:rFonts w:ascii="Calibri" w:hAnsi="Calibri"/>
          <w:b/>
          <w:color w:val="3B4259"/>
          <w:sz w:val="24"/>
        </w:rPr>
        <w:t>GE Aerospace — Q2 2026 Earnings (July 16, 2026) &amp; Bernstein Conference (May 27, 2026)</w:t>
      </w:r>
    </w:p>
    <w:p>
      <w:pPr>
        <w:pStyle w:val="ListBullet"/>
        <w:ind w:left="360" w:hanging="360"/>
      </w:pPr>
      <w:r>
        <w:rPr>
          <w:rFonts w:ascii="Calibri" w:hAnsi="Calibri"/>
          <w:b/>
          <w:color w:val="525866"/>
          <w:sz w:val="22"/>
        </w:rPr>
        <w:t xml:space="preserve">737 MAX / Leap engine demand: </w:t>
      </w:r>
      <w:r>
        <w:rPr>
          <w:rFonts w:ascii="Calibri" w:hAnsi="Calibri"/>
          <w:color w:val="525866"/>
          <w:sz w:val="22"/>
        </w:rPr>
        <w:t xml:space="preserve">GE reported Leap engine deliveries up 41% in H1 2026 and raised full-year Leap delivery growth guidance to 'high teens' (from 15% previously). Copa Airlines selected up to 120 Leap-1B engines for their 737 MAX fleet. GE confirmed Boeing 'will take every engine we can possibly deliver' and noted Boeing's Charleston plant has completed 787s awaiting engine delivery. </w:t>
      </w:r>
    </w:p>
    <w:p>
      <w:pPr>
        <w:pStyle w:val="ListBullet"/>
        <w:ind w:left="360" w:hanging="360"/>
      </w:pPr>
      <w:r>
        <w:rPr>
          <w:rFonts w:ascii="Calibri" w:hAnsi="Calibri"/>
          <w:b/>
          <w:color w:val="525866"/>
          <w:sz w:val="22"/>
        </w:rPr>
        <w:t xml:space="preserve">Read-through: </w:t>
      </w:r>
      <w:r>
        <w:rPr>
          <w:rFonts w:ascii="Calibri" w:hAnsi="Calibri"/>
          <w:color w:val="525866"/>
          <w:sz w:val="22"/>
        </w:rPr>
        <w:t>Strong engine supply supports Boeing's 737 and 787 delivery ramp in Q2. The GE engine recovery plan for 787 rate-10 is the key constraint to watch — GE noted rate-10 timing is 'later in the year than previously anticipated.'</w:t>
      </w:r>
    </w:p>
    <w:p>
      <w:pPr>
        <w:pStyle w:val="ListBullet"/>
        <w:ind w:left="360" w:hanging="360"/>
      </w:pPr>
      <w:r>
        <w:rPr>
          <w:rFonts w:ascii="Calibri" w:hAnsi="Calibri"/>
          <w:b/>
          <w:color w:val="525866"/>
          <w:sz w:val="22"/>
        </w:rPr>
        <w:t xml:space="preserve">Commercial services demand: </w:t>
      </w:r>
      <w:r>
        <w:rPr>
          <w:rFonts w:ascii="Calibri" w:hAnsi="Calibri"/>
          <w:color w:val="525866"/>
          <w:sz w:val="22"/>
        </w:rPr>
        <w:t xml:space="preserve">Commercial services revenue up 32% in H1 2026; spare parts orders growth accelerated from 30% to ~40% in the last 60 days. GE entered Q3 with &gt;95% of spare parts revenue already in backlog. Shop visit pipeline for Q3 exceeds the full-year guide by over 40%. </w:t>
      </w:r>
    </w:p>
    <w:p>
      <w:pPr>
        <w:pStyle w:val="ListBullet"/>
        <w:ind w:left="360" w:hanging="360"/>
      </w:pPr>
      <w:r>
        <w:rPr>
          <w:rFonts w:ascii="Calibri" w:hAnsi="Calibri"/>
          <w:b/>
          <w:color w:val="525866"/>
          <w:sz w:val="22"/>
        </w:rPr>
        <w:t xml:space="preserve">Read-through: </w:t>
      </w:r>
      <w:r>
        <w:rPr>
          <w:rFonts w:ascii="Calibri" w:hAnsi="Calibri"/>
          <w:color w:val="525866"/>
          <w:sz w:val="22"/>
        </w:rPr>
        <w:t>Exceptionally strong aftermarket demand is a positive for Boeing Global Services (BGS), which provides commercial MRO and parts distribution. BGS should see continued revenue tailwinds.</w:t>
      </w:r>
    </w:p>
    <w:p>
      <w:pPr>
        <w:pStyle w:val="ListBullet"/>
        <w:ind w:left="360" w:hanging="360"/>
      </w:pPr>
      <w:r>
        <w:rPr>
          <w:rFonts w:ascii="Calibri" w:hAnsi="Calibri"/>
          <w:b/>
          <w:color w:val="525866"/>
          <w:sz w:val="22"/>
        </w:rPr>
        <w:t xml:space="preserve">Airframer production ramps: </w:t>
      </w:r>
      <w:r>
        <w:rPr>
          <w:rFonts w:ascii="Calibri" w:hAnsi="Calibri"/>
          <w:color w:val="525866"/>
          <w:sz w:val="22"/>
        </w:rPr>
        <w:t xml:space="preserve">At the Bernstein Conference (May 27), GE CEO Culp stated airframers are 'looking to ramp production rates to help expand and modernize fleets' and that it is 'tough to get a slot anytime between now and 2031–32.' GE confirmed LEAP deliveries up ~63% in Q1 2026 and expects to be up 15% for the full year. </w:t>
      </w:r>
    </w:p>
    <w:p>
      <w:pPr>
        <w:pStyle w:val="ListBullet"/>
        <w:ind w:left="360" w:hanging="360"/>
      </w:pPr>
      <w:r>
        <w:rPr>
          <w:rFonts w:ascii="Calibri" w:hAnsi="Calibri"/>
          <w:b/>
          <w:color w:val="525866"/>
          <w:sz w:val="22"/>
        </w:rPr>
        <w:t xml:space="preserve">Read-through: </w:t>
      </w:r>
      <w:r>
        <w:rPr>
          <w:rFonts w:ascii="Calibri" w:hAnsi="Calibri"/>
          <w:color w:val="525866"/>
          <w:sz w:val="22"/>
        </w:rPr>
        <w:t>Demand visibility for Boeing's commercial backlog is exceptional; the constraint is production execution, not orders.</w:t>
      </w:r>
    </w:p>
    <w:p>
      <w:pPr>
        <w:pStyle w:val="ListBullet"/>
        <w:ind w:left="360" w:hanging="360"/>
      </w:pPr>
      <w:r>
        <w:rPr>
          <w:rFonts w:ascii="Calibri" w:hAnsi="Calibri"/>
          <w:b/>
          <w:color w:val="525866"/>
          <w:sz w:val="22"/>
        </w:rPr>
        <w:t xml:space="preserve">Supply chain: </w:t>
      </w:r>
      <w:r>
        <w:rPr>
          <w:rFonts w:ascii="Calibri" w:hAnsi="Calibri"/>
          <w:color w:val="525866"/>
          <w:sz w:val="22"/>
        </w:rPr>
        <w:t xml:space="preserve">GE noted nine consecutive quarters of double-digit increases from critical suppliers, but spare parts delinquency grew 20% sequentially in Q2 — supply remains the governor on services growth. Some suppliers have expressed disbelief in 'the Boeing ramp rate,' which GE addresses directly with suppliers. </w:t>
      </w:r>
    </w:p>
    <w:p>
      <w:pPr>
        <w:pStyle w:val="ListBullet"/>
        <w:ind w:left="360" w:hanging="360"/>
      </w:pPr>
      <w:r>
        <w:rPr>
          <w:rFonts w:ascii="Calibri" w:hAnsi="Calibri"/>
          <w:b/>
          <w:color w:val="525866"/>
          <w:sz w:val="22"/>
        </w:rPr>
        <w:t xml:space="preserve">Read-through: </w:t>
      </w:r>
      <w:r>
        <w:rPr>
          <w:rFonts w:ascii="Calibri" w:hAnsi="Calibri"/>
          <w:color w:val="525866"/>
          <w:sz w:val="22"/>
        </w:rPr>
        <w:t>Supply chain is improving but not fully resolved; Boeing's production ramp faces real constraints at the sub-tier level.</w:t>
      </w:r>
    </w:p>
    <w:p>
      <w:pPr>
        <w:pStyle w:val="ListBullet"/>
        <w:ind w:left="360" w:hanging="360"/>
      </w:pPr>
      <w:r>
        <w:rPr>
          <w:rFonts w:ascii="Calibri" w:hAnsi="Calibri"/>
          <w:b/>
          <w:color w:val="525866"/>
          <w:sz w:val="22"/>
        </w:rPr>
        <w:t xml:space="preserve">Defense: </w:t>
      </w:r>
      <w:r>
        <w:rPr>
          <w:rFonts w:ascii="Calibri" w:hAnsi="Calibri"/>
          <w:color w:val="525866"/>
          <w:sz w:val="22"/>
        </w:rPr>
        <w:t xml:space="preserve">GE's Defense &amp; Propulsion Technologies backlog exceeded $30B (+$5B since start of year); defense book-to-bill was 1.7x in H1. GE is optimistic about participating in sixth-generation platforms (F-47, F/A-XX) via its adaptive cycle engines (XA100, XA102). </w:t>
      </w:r>
    </w:p>
    <w:p>
      <w:pPr>
        <w:pStyle w:val="ListBullet"/>
        <w:ind w:left="360" w:hanging="360"/>
      </w:pPr>
      <w:r>
        <w:rPr>
          <w:rFonts w:ascii="Calibri" w:hAnsi="Calibri"/>
          <w:b/>
          <w:color w:val="525866"/>
          <w:sz w:val="22"/>
        </w:rPr>
        <w:t xml:space="preserve">Read-through: </w:t>
      </w:r>
      <w:r>
        <w:rPr>
          <w:rFonts w:ascii="Calibri" w:hAnsi="Calibri"/>
          <w:color w:val="525866"/>
          <w:sz w:val="22"/>
        </w:rPr>
        <w:t>Positive for Boeing's BDS defense budget tailwind thesis; F/A-XX engine selection is a related catalyst.</w:t>
      </w:r>
    </w:p>
    <w:p>
      <w:pPr>
        <w:pStyle w:val="Heading3"/>
      </w:pPr>
      <w:r>
        <w:rPr>
          <w:rFonts w:ascii="Calibri" w:hAnsi="Calibri"/>
          <w:b/>
          <w:color w:val="3B4259"/>
          <w:sz w:val="24"/>
        </w:rPr>
        <w:t>RTX (Raytheon Technologies) — Q2 2026 Earnings (July 23, 2026) &amp; Bernstein Conference (May 29, 2026)</w:t>
      </w:r>
    </w:p>
    <w:p>
      <w:pPr>
        <w:pStyle w:val="ListBullet"/>
        <w:ind w:left="360" w:hanging="360"/>
      </w:pPr>
      <w:r>
        <w:rPr>
          <w:rFonts w:ascii="Calibri" w:hAnsi="Calibri"/>
          <w:b/>
          <w:color w:val="525866"/>
          <w:sz w:val="22"/>
        </w:rPr>
        <w:t xml:space="preserve">737 MAX and 787 rate confirmation: </w:t>
      </w:r>
      <w:r>
        <w:rPr>
          <w:rFonts w:ascii="Calibri" w:hAnsi="Calibri"/>
          <w:color w:val="525866"/>
          <w:sz w:val="22"/>
        </w:rPr>
        <w:t xml:space="preserve">At the Bernstein Conference (May 29), RTX CEO Calio explicitly confirmed: '737 rate is going up to 47 and Boeing is wanting to move to rate 52' and '787 going up.' Collins Aerospace provides the 'vast majority of the systems' on the 787. In Q2 earnings, Collins commercial OE sales were up 26%, driven by higher volume on narrow body and wide body platforms, with ~$525M of the Collins guidance increase attributed to commercial OE. </w:t>
      </w:r>
    </w:p>
    <w:p>
      <w:pPr>
        <w:pStyle w:val="ListBullet"/>
        <w:ind w:left="360" w:hanging="360"/>
      </w:pPr>
      <w:r>
        <w:rPr>
          <w:rFonts w:ascii="Calibri" w:hAnsi="Calibri"/>
          <w:b/>
          <w:color w:val="525866"/>
          <w:sz w:val="22"/>
        </w:rPr>
        <w:t xml:space="preserve">Read-through: </w:t>
      </w:r>
      <w:r>
        <w:rPr>
          <w:rFonts w:ascii="Calibri" w:hAnsi="Calibri"/>
          <w:color w:val="525866"/>
          <w:sz w:val="22"/>
        </w:rPr>
        <w:t>Direct confirmation from a major Boeing supplier that both 737 and 787 production rates are increasing. Collins is 'continuing to ramp with airframers on the OE side' and has been 'capacitized for these rates for some time,' implying absorption benefit as rates rise.</w:t>
      </w:r>
    </w:p>
    <w:p>
      <w:pPr>
        <w:pStyle w:val="ListBullet"/>
        <w:ind w:left="360" w:hanging="360"/>
      </w:pPr>
      <w:r>
        <w:rPr>
          <w:rFonts w:ascii="Calibri" w:hAnsi="Calibri"/>
          <w:b/>
          <w:color w:val="525866"/>
          <w:sz w:val="22"/>
        </w:rPr>
        <w:t xml:space="preserve">Commercial aerospace demand: </w:t>
      </w:r>
      <w:r>
        <w:rPr>
          <w:rFonts w:ascii="Calibri" w:hAnsi="Calibri"/>
          <w:color w:val="525866"/>
          <w:sz w:val="22"/>
        </w:rPr>
        <w:t xml:space="preserve">RTX CEO stated the 'consistent message across the industry is that demand is strong, and customers including Airbus and Boeing want more product and want it faster.' RTX's $271B backlog reflects this demand. Air framers are 'citing strong demand, with further growth expected in the second half of the year.' </w:t>
      </w:r>
    </w:p>
    <w:p>
      <w:pPr>
        <w:pStyle w:val="ListBullet"/>
        <w:ind w:left="360" w:hanging="360"/>
      </w:pPr>
      <w:r>
        <w:rPr>
          <w:rFonts w:ascii="Calibri" w:hAnsi="Calibri"/>
          <w:b/>
          <w:color w:val="525866"/>
          <w:sz w:val="22"/>
        </w:rPr>
        <w:t xml:space="preserve">Read-through: </w:t>
      </w:r>
      <w:r>
        <w:rPr>
          <w:rFonts w:ascii="Calibri" w:hAnsi="Calibri"/>
          <w:color w:val="525866"/>
          <w:sz w:val="22"/>
        </w:rPr>
        <w:t>Demand environment for Boeing's commercial backlog remains exceptional; H2 2026 delivery step-up is supported by customer pull.</w:t>
      </w:r>
    </w:p>
    <w:p>
      <w:pPr>
        <w:pStyle w:val="ListBullet"/>
        <w:ind w:left="360" w:hanging="360"/>
      </w:pPr>
      <w:r>
        <w:rPr>
          <w:rFonts w:ascii="Calibri" w:hAnsi="Calibri"/>
          <w:b/>
          <w:color w:val="525866"/>
          <w:sz w:val="22"/>
        </w:rPr>
        <w:t xml:space="preserve">787 profitability note: </w:t>
      </w:r>
      <w:r>
        <w:rPr>
          <w:rFonts w:ascii="Calibri" w:hAnsi="Calibri"/>
          <w:color w:val="525866"/>
          <w:sz w:val="22"/>
        </w:rPr>
        <w:t xml:space="preserve">RTX noted the 787 is 'a piece of' Collins' commercial OE sales increase but 'there's not a lot of profit contribution there.' This is consistent with Boeing's own disclosure that BCA margins remain negative due to deferred production cost amortization. </w:t>
      </w:r>
    </w:p>
    <w:p>
      <w:pPr>
        <w:pStyle w:val="ListBullet"/>
        <w:ind w:left="360" w:hanging="360"/>
      </w:pPr>
      <w:r>
        <w:rPr>
          <w:rFonts w:ascii="Calibri" w:hAnsi="Calibri"/>
          <w:b/>
          <w:color w:val="525866"/>
          <w:sz w:val="22"/>
        </w:rPr>
        <w:t xml:space="preserve">Read-through: </w:t>
      </w:r>
      <w:r>
        <w:rPr>
          <w:rFonts w:ascii="Calibri" w:hAnsi="Calibri"/>
          <w:color w:val="525866"/>
          <w:sz w:val="22"/>
        </w:rPr>
        <w:t>Confirms 787 remains a margin headwind for the supply chain, not just Boeing; margin recovery is a multi-year story.</w:t>
      </w:r>
    </w:p>
    <w:p>
      <w:pPr>
        <w:pStyle w:val="ListBullet"/>
        <w:ind w:left="360" w:hanging="360"/>
      </w:pPr>
      <w:r>
        <w:rPr>
          <w:rFonts w:ascii="Calibri" w:hAnsi="Calibri"/>
          <w:b/>
          <w:color w:val="525866"/>
          <w:sz w:val="22"/>
        </w:rPr>
        <w:t xml:space="preserve">Supply chain: </w:t>
      </w:r>
      <w:r>
        <w:rPr>
          <w:rFonts w:ascii="Calibri" w:hAnsi="Calibri"/>
          <w:color w:val="525866"/>
          <w:sz w:val="22"/>
        </w:rPr>
        <w:t xml:space="preserve">RTX flagged castings (at both Pratt and Collins) and microelectronics as 'watch areas' critical to enabling the OE and aftermarket ramp. RTX is investing in internal casting capability (Asheville facility) and engaging second/third sources for constrained components. Pratt structural castings were up 10% YoY in Q1. </w:t>
      </w:r>
    </w:p>
    <w:p>
      <w:pPr>
        <w:pStyle w:val="ListBullet"/>
        <w:ind w:left="360" w:hanging="360"/>
      </w:pPr>
      <w:r>
        <w:rPr>
          <w:rFonts w:ascii="Calibri" w:hAnsi="Calibri"/>
          <w:b/>
          <w:color w:val="525866"/>
          <w:sz w:val="22"/>
        </w:rPr>
        <w:t xml:space="preserve">Read-through: </w:t>
      </w:r>
      <w:r>
        <w:rPr>
          <w:rFonts w:ascii="Calibri" w:hAnsi="Calibri"/>
          <w:color w:val="525866"/>
          <w:sz w:val="22"/>
        </w:rPr>
        <w:t>Casting constraints are a real but manageable bottleneck for Boeing's production ramp; RTX's investments suggest the industry is addressing the constraint proactively.</w:t>
      </w:r>
    </w:p>
    <w:p>
      <w:pPr>
        <w:pStyle w:val="ListBullet"/>
        <w:ind w:left="360" w:hanging="360"/>
      </w:pPr>
      <w:r>
        <w:rPr>
          <w:rFonts w:ascii="Calibri" w:hAnsi="Calibri"/>
          <w:b/>
          <w:color w:val="525866"/>
          <w:sz w:val="22"/>
        </w:rPr>
        <w:t xml:space="preserve">Defense spending: </w:t>
      </w:r>
      <w:r>
        <w:rPr>
          <w:rFonts w:ascii="Calibri" w:hAnsi="Calibri"/>
          <w:color w:val="525866"/>
          <w:sz w:val="22"/>
        </w:rPr>
        <w:t xml:space="preserve">Raytheon booked over $10B of international awards in H1 2026 (2x YoY), with 48% of backlog international. US base budget request of $1.1T represents ~25% YoY increase. Bipartisan support for increased munitions spending. Five framework agreements signed for Tomahawk, AMRAAM, Standard Missile family. </w:t>
      </w:r>
    </w:p>
    <w:p>
      <w:pPr>
        <w:pStyle w:val="ListBullet"/>
        <w:ind w:left="360" w:hanging="360"/>
      </w:pPr>
      <w:r>
        <w:rPr>
          <w:rFonts w:ascii="Calibri" w:hAnsi="Calibri"/>
          <w:b/>
          <w:color w:val="525866"/>
          <w:sz w:val="22"/>
        </w:rPr>
        <w:t xml:space="preserve">Read-through: </w:t>
      </w:r>
      <w:r>
        <w:rPr>
          <w:rFonts w:ascii="Calibri" w:hAnsi="Calibri"/>
          <w:color w:val="525866"/>
          <w:sz w:val="22"/>
        </w:rPr>
        <w:t>Exceptionally strong defense demand environment is a positive for Boeing's BDS segment, particularly for weapons programs (JDAM, small diameter bomb, PAC-3) where Boeing has cited demand exceeding production capacity.</w:t>
      </w:r>
    </w:p>
    <w:p>
      <w:pPr>
        <w:pStyle w:val="Heading3"/>
      </w:pPr>
      <w:r>
        <w:rPr>
          <w:rFonts w:ascii="Calibri" w:hAnsi="Calibri"/>
          <w:b/>
          <w:color w:val="3B4259"/>
          <w:sz w:val="24"/>
        </w:rPr>
        <w:t>Lockheed Martin — Q2 2026 Earnings (July 23, 2026) &amp; Bernstein Conference (May 27, 2026)</w:t>
      </w:r>
    </w:p>
    <w:p>
      <w:pPr>
        <w:pStyle w:val="ListBullet"/>
        <w:ind w:left="360" w:hanging="360"/>
      </w:pPr>
      <w:r>
        <w:rPr>
          <w:rFonts w:ascii="Calibri" w:hAnsi="Calibri"/>
          <w:b/>
          <w:color w:val="525866"/>
          <w:sz w:val="22"/>
        </w:rPr>
        <w:t xml:space="preserve">Defense demand: </w:t>
      </w:r>
      <w:r>
        <w:rPr>
          <w:rFonts w:ascii="Calibri" w:hAnsi="Calibri"/>
          <w:color w:val="525866"/>
          <w:sz w:val="22"/>
        </w:rPr>
        <w:t xml:space="preserve">LMT reported a record $230B backlog (+$64B vs. Q2 2025), book-to-bill of 3.2x, and Q2 sales of $20.1B (+11% YoY). Raised FY 2026 guidance to $79.75–$81.75B (8% growth at midpoint, up from 5%). H2 2026 growth expected at 'high single digits, perhaps low double digits.' </w:t>
      </w:r>
    </w:p>
    <w:p>
      <w:pPr>
        <w:pStyle w:val="ListBullet"/>
        <w:ind w:left="360" w:hanging="360"/>
      </w:pPr>
      <w:r>
        <w:rPr>
          <w:rFonts w:ascii="Calibri" w:hAnsi="Calibri"/>
          <w:b/>
          <w:color w:val="525866"/>
          <w:sz w:val="22"/>
        </w:rPr>
        <w:t xml:space="preserve">Read-through: </w:t>
      </w:r>
      <w:r>
        <w:rPr>
          <w:rFonts w:ascii="Calibri" w:hAnsi="Calibri"/>
          <w:color w:val="525866"/>
          <w:sz w:val="22"/>
        </w:rPr>
        <w:t>The strongest defense demand environment in decades is a direct positive for Boeing's BDS segment, which entered 2026 with a record backlog. LMT's results validate Boeing management's characterization of defense budget tailwinds as a 'multi-year' opportunity.</w:t>
      </w:r>
    </w:p>
    <w:p>
      <w:pPr>
        <w:pStyle w:val="ListBullet"/>
        <w:ind w:left="360" w:hanging="360"/>
      </w:pPr>
      <w:r>
        <w:rPr>
          <w:rFonts w:ascii="Calibri" w:hAnsi="Calibri"/>
          <w:b/>
          <w:color w:val="525866"/>
          <w:sz w:val="22"/>
        </w:rPr>
        <w:t xml:space="preserve">Military aircraft production: </w:t>
      </w:r>
      <w:r>
        <w:rPr>
          <w:rFonts w:ascii="Calibri" w:hAnsi="Calibri"/>
          <w:color w:val="525866"/>
          <w:sz w:val="22"/>
        </w:rPr>
        <w:t xml:space="preserve">LMT resumed F-16 deliveries and increased C-130 output; F-35 production rate of 156/year expected to be sustained. CH-53K deliveries expected to double this year and next. </w:t>
      </w:r>
    </w:p>
    <w:p>
      <w:pPr>
        <w:pStyle w:val="ListBullet"/>
        <w:ind w:left="360" w:hanging="360"/>
      </w:pPr>
      <w:r>
        <w:rPr>
          <w:rFonts w:ascii="Calibri" w:hAnsi="Calibri"/>
          <w:b/>
          <w:color w:val="525866"/>
          <w:sz w:val="22"/>
        </w:rPr>
        <w:t xml:space="preserve">Read-through: </w:t>
      </w:r>
      <w:r>
        <w:rPr>
          <w:rFonts w:ascii="Calibri" w:hAnsi="Calibri"/>
          <w:color w:val="525866"/>
          <w:sz w:val="22"/>
        </w:rPr>
        <w:t>Broad-based military aircraft production increases across the industry are consistent with Boeing's BDS delivery guidance (KC-46 deliveries increasing from ~14 in 2025 to ~19 in 2026).</w:t>
      </w:r>
    </w:p>
    <w:p>
      <w:pPr>
        <w:pStyle w:val="ListBullet"/>
        <w:ind w:left="360" w:hanging="360"/>
      </w:pPr>
      <w:r>
        <w:rPr>
          <w:rFonts w:ascii="Calibri" w:hAnsi="Calibri"/>
          <w:b/>
          <w:color w:val="525866"/>
          <w:sz w:val="22"/>
        </w:rPr>
        <w:t xml:space="preserve">F/A-XX context: </w:t>
      </w:r>
      <w:r>
        <w:rPr>
          <w:rFonts w:ascii="Calibri" w:hAnsi="Calibri"/>
          <w:color w:val="525866"/>
          <w:sz w:val="22"/>
        </w:rPr>
        <w:t xml:space="preserve">At the Bernstein Conference, LMT CEO Taiclet noted the 'war in Iran and Ukraine' have led to 'heavy usage of tactical missiles, interceptors and high op tempo for F-35s,' motivating the US government to adopt more commercial contracting models and long-term framework agreements. </w:t>
      </w:r>
    </w:p>
    <w:p>
      <w:pPr>
        <w:pStyle w:val="ListBullet"/>
        <w:ind w:left="360" w:hanging="360"/>
      </w:pPr>
      <w:r>
        <w:rPr>
          <w:rFonts w:ascii="Calibri" w:hAnsi="Calibri"/>
          <w:b/>
          <w:color w:val="525866"/>
          <w:sz w:val="22"/>
        </w:rPr>
        <w:t xml:space="preserve">Read-through: </w:t>
      </w:r>
      <w:r>
        <w:rPr>
          <w:rFonts w:ascii="Calibri" w:hAnsi="Calibri"/>
          <w:color w:val="525866"/>
          <w:sz w:val="22"/>
        </w:rPr>
        <w:t>The geopolitical environment that is driving LMT's record backlog is the same environment that makes a Boeing F/A-XX win transformational. The defense budget tailwind is structural, not cyclical.</w:t>
      </w:r>
    </w:p>
    <w:p>
      <w:pPr>
        <w:pStyle w:val="ListBullet"/>
        <w:ind w:left="360" w:hanging="360"/>
      </w:pPr>
      <w:r>
        <w:rPr>
          <w:rFonts w:ascii="Calibri" w:hAnsi="Calibri"/>
          <w:b/>
          <w:color w:val="525866"/>
          <w:sz w:val="22"/>
        </w:rPr>
        <w:t xml:space="preserve">Manufacturing capacity investment: </w:t>
      </w:r>
      <w:r>
        <w:rPr>
          <w:rFonts w:ascii="Calibri" w:hAnsi="Calibri"/>
          <w:color w:val="525866"/>
          <w:sz w:val="22"/>
        </w:rPr>
        <w:t xml:space="preserve">LMT is investing $8–9B in ammunition scaling and partnering with General Motors Defense to apply automotive high-rate manufacturing expertise to defense production. </w:t>
      </w:r>
    </w:p>
    <w:p>
      <w:pPr>
        <w:pStyle w:val="ListBullet"/>
        <w:ind w:left="360" w:hanging="360"/>
      </w:pPr>
      <w:r>
        <w:rPr>
          <w:rFonts w:ascii="Calibri" w:hAnsi="Calibri"/>
          <w:b/>
          <w:color w:val="525866"/>
          <w:sz w:val="22"/>
        </w:rPr>
        <w:t xml:space="preserve">Read-through: </w:t>
      </w:r>
      <w:r>
        <w:rPr>
          <w:rFonts w:ascii="Calibri" w:hAnsi="Calibri"/>
          <w:color w:val="525866"/>
          <w:sz w:val="22"/>
        </w:rPr>
        <w:t>Industry-wide investment in defense manufacturing capacity is consistent with Boeing's own elevated CapEx in 2026–2027 for production ramp investments.</w:t>
      </w:r>
    </w:p>
    <w:p>
      <w:pPr>
        <w:pStyle w:val="Heading3"/>
      </w:pPr>
      <w:r>
        <w:rPr>
          <w:rFonts w:ascii="Calibri" w:hAnsi="Calibri"/>
          <w:b/>
          <w:color w:val="3B4259"/>
          <w:sz w:val="24"/>
        </w:rPr>
        <w:t>Northrop Grumman — Q2 2026 Earnings (July 21, 2026)</w:t>
      </w:r>
    </w:p>
    <w:p>
      <w:pPr>
        <w:pStyle w:val="ListBullet"/>
        <w:ind w:left="360" w:hanging="360"/>
      </w:pPr>
      <w:r>
        <w:rPr>
          <w:rFonts w:ascii="Calibri" w:hAnsi="Calibri"/>
          <w:b/>
          <w:color w:val="525866"/>
          <w:sz w:val="22"/>
        </w:rPr>
        <w:t xml:space="preserve">Defense spending environment: </w:t>
      </w:r>
      <w:r>
        <w:rPr>
          <w:rFonts w:ascii="Calibri" w:hAnsi="Calibri"/>
          <w:color w:val="525866"/>
          <w:sz w:val="22"/>
        </w:rPr>
        <w:t xml:space="preserve">NOC cited 'bipartisan support for defense investment to maintain the nation's competitive edge.' The House and Senate Armed Services Committees supported $1.1T in the base budget for FY2027 (+10% from FY2026). The administration submitted a $67B supplemental request for operational costs, weapons replenishment, and military readiness. Congress is also considering a $350B reconciliation package for military modernization. </w:t>
      </w:r>
    </w:p>
    <w:p>
      <w:pPr>
        <w:pStyle w:val="ListBullet"/>
        <w:ind w:left="360" w:hanging="360"/>
      </w:pPr>
      <w:r>
        <w:rPr>
          <w:rFonts w:ascii="Calibri" w:hAnsi="Calibri"/>
          <w:b/>
          <w:color w:val="525866"/>
          <w:sz w:val="22"/>
        </w:rPr>
        <w:t xml:space="preserve">Read-through: </w:t>
      </w:r>
      <w:r>
        <w:rPr>
          <w:rFonts w:ascii="Calibri" w:hAnsi="Calibri"/>
          <w:color w:val="525866"/>
          <w:sz w:val="22"/>
        </w:rPr>
        <w:t>The defense budget environment is the most favorable in decades. Boeing's BDS segment, with a record backlog and specific programs (KC-46, F-15EX, PAC-3, classified) cited by management as benefiting from increased spending, is well-positioned to capture this tailwind.</w:t>
      </w:r>
    </w:p>
    <w:p>
      <w:pPr>
        <w:pStyle w:val="ListBullet"/>
        <w:ind w:left="360" w:hanging="360"/>
      </w:pPr>
      <w:r>
        <w:rPr>
          <w:rFonts w:ascii="Calibri" w:hAnsi="Calibri"/>
          <w:b/>
          <w:color w:val="525866"/>
          <w:sz w:val="22"/>
        </w:rPr>
        <w:t xml:space="preserve">National security space: </w:t>
      </w:r>
      <w:r>
        <w:rPr>
          <w:rFonts w:ascii="Calibri" w:hAnsi="Calibri"/>
          <w:color w:val="525866"/>
          <w:sz w:val="22"/>
        </w:rPr>
        <w:t xml:space="preserve">NOC's national security space backlog stands at over $16B and is projected to grow high single digits, generating over $7B in sales (&gt;15% of revenues). 'Historic increases to the US space budget' driven by modern warfare's dependence on space-based capabilities. </w:t>
      </w:r>
    </w:p>
    <w:p>
      <w:pPr>
        <w:pStyle w:val="ListBullet"/>
        <w:ind w:left="360" w:hanging="360"/>
      </w:pPr>
      <w:r>
        <w:rPr>
          <w:rFonts w:ascii="Calibri" w:hAnsi="Calibri"/>
          <w:b/>
          <w:color w:val="525866"/>
          <w:sz w:val="22"/>
        </w:rPr>
        <w:t xml:space="preserve">Read-through: </w:t>
      </w:r>
      <w:r>
        <w:rPr>
          <w:rFonts w:ascii="Calibri" w:hAnsi="Calibri"/>
          <w:color w:val="525866"/>
          <w:sz w:val="22"/>
        </w:rPr>
        <w:t>Positive for Boeing's national security space business (strategic SATCOM, classified work, X-Plane), which management has characterized as performing well with good budget support and Golden Dome applicability.</w:t>
      </w:r>
    </w:p>
    <w:p>
      <w:pPr>
        <w:pStyle w:val="ListBullet"/>
        <w:ind w:left="360" w:hanging="360"/>
      </w:pPr>
      <w:r>
        <w:rPr>
          <w:rFonts w:ascii="Calibri" w:hAnsi="Calibri"/>
          <w:b/>
          <w:color w:val="525866"/>
          <w:sz w:val="22"/>
        </w:rPr>
        <w:t xml:space="preserve">FMS acceleration: </w:t>
      </w:r>
      <w:r>
        <w:rPr>
          <w:rFonts w:ascii="Calibri" w:hAnsi="Calibri"/>
          <w:color w:val="525866"/>
          <w:sz w:val="22"/>
        </w:rPr>
        <w:t xml:space="preserve">NOC noted Foreign Military Sales cases are being approved at a 'much more rapid rate, significantly ahead of what we experienced in prior years.' </w:t>
      </w:r>
    </w:p>
    <w:p>
      <w:pPr>
        <w:pStyle w:val="ListBullet"/>
        <w:ind w:left="360" w:hanging="360"/>
      </w:pPr>
      <w:r>
        <w:rPr>
          <w:rFonts w:ascii="Calibri" w:hAnsi="Calibri"/>
          <w:b/>
          <w:color w:val="525866"/>
          <w:sz w:val="22"/>
        </w:rPr>
        <w:t xml:space="preserve">Read-through: </w:t>
      </w:r>
      <w:r>
        <w:rPr>
          <w:rFonts w:ascii="Calibri" w:hAnsi="Calibri"/>
          <w:color w:val="525866"/>
          <w:sz w:val="22"/>
        </w:rPr>
        <w:t>Faster FMS approvals benefit Boeing's international defense sales pipeline, particularly for F-15EX and P-8 programs.</w:t>
      </w:r>
    </w:p>
    <w:p>
      <w:pPr>
        <w:pStyle w:val="ListBullet"/>
        <w:ind w:left="360" w:hanging="360"/>
      </w:pPr>
      <w:r>
        <w:rPr>
          <w:rFonts w:ascii="Calibri" w:hAnsi="Calibri"/>
          <w:b/>
          <w:color w:val="525866"/>
          <w:sz w:val="22"/>
        </w:rPr>
        <w:t xml:space="preserve">F/A-XX competition: </w:t>
      </w:r>
      <w:r>
        <w:rPr>
          <w:rFonts w:ascii="Calibri" w:hAnsi="Calibri"/>
          <w:color w:val="525866"/>
          <w:sz w:val="22"/>
        </w:rPr>
        <w:t xml:space="preserve">NOC is Boeing's sole competitor for the F/A-XX contract. NOC's strong Q2 results and record backlog demonstrate the financial strength of the competing bidder. The downselect in August is a binary event for both companies. </w:t>
      </w:r>
    </w:p>
    <w:p>
      <w:pPr>
        <w:pStyle w:val="ListBullet"/>
        <w:ind w:left="360" w:hanging="360"/>
      </w:pPr>
      <w:r>
        <w:rPr>
          <w:rFonts w:ascii="Calibri" w:hAnsi="Calibri"/>
          <w:b/>
          <w:color w:val="525866"/>
          <w:sz w:val="22"/>
        </w:rPr>
        <w:t xml:space="preserve">Read-through: </w:t>
      </w:r>
      <w:r>
        <w:rPr>
          <w:rFonts w:ascii="Calibri" w:hAnsi="Calibri"/>
          <w:color w:val="525866"/>
          <w:sz w:val="22"/>
        </w:rPr>
        <w:t>NOC's strong positioning makes the F/A-XX outcome genuinely uncertain. A Boeing win would be transformational; a loss would be a meaningful negative catalyst.</w:t>
      </w:r>
    </w:p>
    <w:p>
      <w:pPr>
        <w:pStyle w:val="Heading3"/>
      </w:pPr>
      <w:r>
        <w:rPr>
          <w:rFonts w:ascii="Calibri" w:hAnsi="Calibri"/>
          <w:b/>
          <w:color w:val="3B4259"/>
          <w:sz w:val="24"/>
        </w:rPr>
        <w:t>Howmet Aerospace (HWM) — Q1 2026 Earnings (May 7, 2026) &amp; Bernstein Conference (May 27, 2026)</w:t>
      </w:r>
    </w:p>
    <w:p>
      <w:pPr>
        <w:pStyle w:val="ListBullet"/>
        <w:ind w:left="360" w:hanging="360"/>
      </w:pPr>
      <w:r>
        <w:rPr>
          <w:rFonts w:ascii="Calibri" w:hAnsi="Calibri"/>
          <w:b/>
          <w:color w:val="525866"/>
          <w:sz w:val="22"/>
        </w:rPr>
        <w:t xml:space="preserve">737 and 787 production rate assumptions: </w:t>
      </w:r>
      <w:r>
        <w:rPr>
          <w:rFonts w:ascii="Calibri" w:hAnsi="Calibri"/>
          <w:color w:val="525866"/>
          <w:sz w:val="22"/>
        </w:rPr>
        <w:t xml:space="preserve">HWM's Q1 2026 earnings call (May 7) disclosed their embedded rate assumptions: 737 at an average of 42/month for FY 2026, 787 currently at 7/month rising to 8/month by Q4 2026. At the Bernstein Conference (May 27), HWM noted Boeing 'intends to be 10/month by year-end on the 787' but HWM's own assumption is 'more like 8/month by year-end.' </w:t>
      </w:r>
    </w:p>
    <w:p>
      <w:pPr>
        <w:pStyle w:val="ListBullet"/>
        <w:ind w:left="360" w:hanging="360"/>
      </w:pPr>
      <w:r>
        <w:rPr>
          <w:rFonts w:ascii="Calibri" w:hAnsi="Calibri"/>
          <w:b/>
          <w:color w:val="525866"/>
          <w:sz w:val="22"/>
        </w:rPr>
        <w:t xml:space="preserve">Read-through: </w:t>
      </w:r>
      <w:r>
        <w:rPr>
          <w:rFonts w:ascii="Calibri" w:hAnsi="Calibri"/>
          <w:color w:val="525866"/>
          <w:sz w:val="22"/>
        </w:rPr>
        <w:t>HWM's conservative 787 rate assumption (8 vs. Boeing's 10 target) suggests the supply chain is not fully prepared for rate 10 by year-end. This is consistent with Boeing's own disclosure that GE engine timing is a constraint. The 737 average of 42/month for FY 2026 implies HWM had not yet fully embedded the rate-47 ramp in their model at the time of Q1 earnings.</w:t>
      </w:r>
    </w:p>
    <w:p>
      <w:pPr>
        <w:pStyle w:val="ListBullet"/>
        <w:ind w:left="360" w:hanging="360"/>
      </w:pPr>
      <w:r>
        <w:rPr>
          <w:rFonts w:ascii="Calibri" w:hAnsi="Calibri"/>
          <w:b/>
          <w:color w:val="525866"/>
          <w:sz w:val="22"/>
        </w:rPr>
        <w:t xml:space="preserve">Commercial aerospace demand: </w:t>
      </w:r>
      <w:r>
        <w:rPr>
          <w:rFonts w:ascii="Calibri" w:hAnsi="Calibri"/>
          <w:color w:val="525866"/>
          <w:sz w:val="22"/>
        </w:rPr>
        <w:t xml:space="preserve">HWM reported Commercial Aerospace growth of 20% in Q1 2026, with engine spares up 48%. Spares revenue now represents 23% of total revenue (vs. 11% in 2019). HWM raised FY 2026 revenue growth guidance from 10% to 14%. </w:t>
      </w:r>
    </w:p>
    <w:p>
      <w:pPr>
        <w:pStyle w:val="ListBullet"/>
        <w:ind w:left="360" w:hanging="360"/>
      </w:pPr>
      <w:r>
        <w:rPr>
          <w:rFonts w:ascii="Calibri" w:hAnsi="Calibri"/>
          <w:b/>
          <w:color w:val="525866"/>
          <w:sz w:val="22"/>
        </w:rPr>
        <w:t xml:space="preserve">Read-through: </w:t>
      </w:r>
      <w:r>
        <w:rPr>
          <w:rFonts w:ascii="Calibri" w:hAnsi="Calibri"/>
          <w:color w:val="525866"/>
          <w:sz w:val="22"/>
        </w:rPr>
        <w:t>Strong spares demand is a positive for Boeing Global Services. HWM's guidance raise reflects the same demand environment that should support BGS revenue growth.</w:t>
      </w:r>
    </w:p>
    <w:p>
      <w:pPr>
        <w:pStyle w:val="ListBullet"/>
        <w:ind w:left="360" w:hanging="360"/>
      </w:pPr>
      <w:r>
        <w:rPr>
          <w:rFonts w:ascii="Calibri" w:hAnsi="Calibri"/>
          <w:b/>
          <w:color w:val="525866"/>
          <w:sz w:val="22"/>
        </w:rPr>
        <w:t xml:space="preserve">Supply chain inventory: </w:t>
      </w:r>
      <w:r>
        <w:rPr>
          <w:rFonts w:ascii="Calibri" w:hAnsi="Calibri"/>
          <w:color w:val="525866"/>
          <w:sz w:val="22"/>
        </w:rPr>
        <w:t xml:space="preserve">HWM noted 'not a lot of inventory lying around in completed engines or parts availability' — customers will 'take everything we can make.' Rare earth inventory is fully covered through 2026 and ~90% covered for 2027. </w:t>
      </w:r>
    </w:p>
    <w:p>
      <w:pPr>
        <w:pStyle w:val="ListBullet"/>
        <w:ind w:left="360" w:hanging="360"/>
      </w:pPr>
      <w:r>
        <w:rPr>
          <w:rFonts w:ascii="Calibri" w:hAnsi="Calibri"/>
          <w:b/>
          <w:color w:val="525866"/>
          <w:sz w:val="22"/>
        </w:rPr>
        <w:t xml:space="preserve">Read-through: </w:t>
      </w:r>
      <w:r>
        <w:rPr>
          <w:rFonts w:ascii="Calibri" w:hAnsi="Calibri"/>
          <w:color w:val="525866"/>
          <w:sz w:val="22"/>
        </w:rPr>
        <w:t>Tight inventory across the supply chain means Boeing's production ramp is demand-pull, not supply-push. Any production disruption (e.g., SPEEA strike) would have outsized impact given lean inventory buffers.</w:t>
      </w:r>
    </w:p>
    <w:p>
      <w:pPr>
        <w:pStyle w:val="Heading3"/>
      </w:pPr>
      <w:r>
        <w:rPr>
          <w:rFonts w:ascii="Calibri" w:hAnsi="Calibri"/>
          <w:b/>
          <w:color w:val="3B4259"/>
          <w:sz w:val="24"/>
        </w:rPr>
        <w:t>Airbus (AIR FP) — Business Update Call (July 21, 2026)</w:t>
      </w:r>
    </w:p>
    <w:p>
      <w:pPr>
        <w:pStyle w:val="ListBullet"/>
        <w:ind w:left="360" w:hanging="360"/>
      </w:pPr>
      <w:r>
        <w:rPr>
          <w:rFonts w:ascii="Calibri" w:hAnsi="Calibri"/>
          <w:b/>
          <w:color w:val="525866"/>
          <w:sz w:val="22"/>
        </w:rPr>
        <w:t xml:space="preserve">Commercial aerospace demand: </w:t>
      </w:r>
      <w:r>
        <w:rPr>
          <w:rFonts w:ascii="Calibri" w:hAnsi="Calibri"/>
          <w:color w:val="525866"/>
          <w:sz w:val="22"/>
        </w:rPr>
        <w:t xml:space="preserve">Airbus CEO Faury described demand as 'very strong' with a 'level of visibility we've never had before.' Airbus has a backlog of over 9,200 commercial aircraft and is targeting ~870 deliveries in 2026 (historic high). The general market forecast projects ~42,000 new aircraft needed by 2045 (4% CAGR). </w:t>
      </w:r>
    </w:p>
    <w:p>
      <w:pPr>
        <w:pStyle w:val="ListBullet"/>
        <w:ind w:left="360" w:hanging="360"/>
      </w:pPr>
      <w:r>
        <w:rPr>
          <w:rFonts w:ascii="Calibri" w:hAnsi="Calibri"/>
          <w:b/>
          <w:color w:val="525866"/>
          <w:sz w:val="22"/>
        </w:rPr>
        <w:t xml:space="preserve">Read-through: </w:t>
      </w:r>
      <w:r>
        <w:rPr>
          <w:rFonts w:ascii="Calibri" w:hAnsi="Calibri"/>
          <w:color w:val="525866"/>
          <w:sz w:val="22"/>
        </w:rPr>
        <w:t>The duopoly demand environment is exceptional for both Airbus and Boeing. Airbus's record backlog and delivery targets validate the structural demand thesis underpinning Boeing's own record $695B backlog.</w:t>
      </w:r>
    </w:p>
    <w:p>
      <w:pPr>
        <w:pStyle w:val="ListBullet"/>
        <w:ind w:left="360" w:hanging="360"/>
      </w:pPr>
      <w:r>
        <w:rPr>
          <w:rFonts w:ascii="Calibri" w:hAnsi="Calibri"/>
          <w:b/>
          <w:color w:val="525866"/>
          <w:sz w:val="22"/>
        </w:rPr>
        <w:t xml:space="preserve">Widebody demand: </w:t>
      </w:r>
      <w:r>
        <w:rPr>
          <w:rFonts w:ascii="Calibri" w:hAnsi="Calibri"/>
          <w:color w:val="525866"/>
          <w:sz w:val="22"/>
        </w:rPr>
        <w:t xml:space="preserve">Airbus noted 'even higher demand on the widebody' and is investigating increasing A350 rate 'well beyond rate 12.' A350 freighter first flight expected 'towards end of summer 2026.' </w:t>
      </w:r>
    </w:p>
    <w:p>
      <w:pPr>
        <w:pStyle w:val="ListBullet"/>
        <w:ind w:left="360" w:hanging="360"/>
      </w:pPr>
      <w:r>
        <w:rPr>
          <w:rFonts w:ascii="Calibri" w:hAnsi="Calibri"/>
          <w:b/>
          <w:color w:val="525866"/>
          <w:sz w:val="22"/>
        </w:rPr>
        <w:t xml:space="preserve">Read-through: </w:t>
      </w:r>
      <w:r>
        <w:rPr>
          <w:rFonts w:ascii="Calibri" w:hAnsi="Calibri"/>
          <w:color w:val="525866"/>
          <w:sz w:val="22"/>
        </w:rPr>
        <w:t>Strong widebody demand is a positive for Boeing's 787 and 777X programs. The competitive widebody environment (A350 vs. 787) is intensifying, but demand is large enough for both.</w:t>
      </w:r>
    </w:p>
    <w:p>
      <w:pPr>
        <w:pStyle w:val="ListBullet"/>
        <w:ind w:left="360" w:hanging="360"/>
      </w:pPr>
      <w:r>
        <w:rPr>
          <w:rFonts w:ascii="Calibri" w:hAnsi="Calibri"/>
          <w:b/>
          <w:color w:val="525866"/>
          <w:sz w:val="22"/>
        </w:rPr>
        <w:t xml:space="preserve">Supply chain: </w:t>
      </w:r>
      <w:r>
        <w:rPr>
          <w:rFonts w:ascii="Calibri" w:hAnsi="Calibri"/>
          <w:color w:val="525866"/>
          <w:sz w:val="22"/>
        </w:rPr>
        <w:t xml:space="preserve">Airbus noted the supply chain is 'in a much better place' post-COVID but flagged Pratt &amp; Whitney engine delivery as a constraint: 'in 2026 and to some degree 2027, we will be slightly held back by deliveries of Pratt engines.' Airbus is investing in a digital 'aero excellence' system for supply chain visibility. </w:t>
      </w:r>
    </w:p>
    <w:p>
      <w:pPr>
        <w:pStyle w:val="ListBullet"/>
        <w:ind w:left="360" w:hanging="360"/>
      </w:pPr>
      <w:r>
        <w:rPr>
          <w:rFonts w:ascii="Calibri" w:hAnsi="Calibri"/>
          <w:b/>
          <w:color w:val="525866"/>
          <w:sz w:val="22"/>
        </w:rPr>
        <w:t xml:space="preserve">Read-through: </w:t>
      </w:r>
      <w:r>
        <w:rPr>
          <w:rFonts w:ascii="Calibri" w:hAnsi="Calibri"/>
          <w:color w:val="525866"/>
          <w:sz w:val="22"/>
        </w:rPr>
        <w:t>Engine delivery constraints are an industry-wide issue, not Boeing-specific. GE's engine delivery recovery plan for Boeing's 787 is the Boeing-specific analog to Airbus's Pratt constraint.</w:t>
      </w:r>
    </w:p>
    <w:p>
      <w:pPr>
        <w:pStyle w:val="ListBullet"/>
        <w:ind w:left="360" w:hanging="360"/>
      </w:pPr>
      <w:r>
        <w:rPr>
          <w:rFonts w:ascii="Calibri" w:hAnsi="Calibri"/>
          <w:b/>
          <w:color w:val="525866"/>
          <w:sz w:val="22"/>
        </w:rPr>
        <w:t xml:space="preserve">A320 ramp to rate 75: </w:t>
      </w:r>
      <w:r>
        <w:rPr>
          <w:rFonts w:ascii="Calibri" w:hAnsi="Calibri"/>
          <w:color w:val="525866"/>
          <w:sz w:val="22"/>
        </w:rPr>
        <w:t xml:space="preserve">Airbus is investing to be prepared for A320 rate 75 'shortly after beginning of 2028,' with 10 final assembly lines now operating. </w:t>
      </w:r>
    </w:p>
    <w:p>
      <w:pPr>
        <w:pStyle w:val="ListBullet"/>
        <w:ind w:left="360" w:hanging="360"/>
      </w:pPr>
      <w:r>
        <w:rPr>
          <w:rFonts w:ascii="Calibri" w:hAnsi="Calibri"/>
          <w:b/>
          <w:color w:val="525866"/>
          <w:sz w:val="22"/>
        </w:rPr>
        <w:t xml:space="preserve">Read-through: </w:t>
      </w:r>
      <w:r>
        <w:rPr>
          <w:rFonts w:ascii="Calibri" w:hAnsi="Calibri"/>
          <w:color w:val="525866"/>
          <w:sz w:val="22"/>
        </w:rPr>
        <w:t>Airbus's aggressive narrowbody ramp puts pressure on Boeing to execute its own 737 ramp (rate 47 → 52 → 63 long-term). The competitive dynamic reinforces Boeing's urgency to stabilize and accelerate production.</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the Q1 2026 earnings date is minimal — only one open-market purchase was disclosed, by a Director. There are no clustered buys or unusual sales. The absence of insider selling is modestly constructive, but the single director purchase is too small to be a meaningful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Bradley D. Tilden</w:t>
            </w:r>
          </w:p>
        </w:tc>
        <w:tc>
          <w:tcPr>
            <w:tcW w:type="dxa" w:w="1234"/>
          </w:tcPr>
          <w:p>
            <w:r>
              <w:rPr>
                <w:rFonts w:ascii="Calibri" w:hAnsi="Calibri"/>
                <w:sz w:val="22"/>
              </w:rPr>
              <w:t>Director</w:t>
            </w:r>
          </w:p>
        </w:tc>
        <w:tc>
          <w:tcPr>
            <w:tcW w:type="dxa" w:w="1234"/>
          </w:tcPr>
          <w:p>
            <w:r>
              <w:rPr>
                <w:rFonts w:ascii="Calibri" w:hAnsi="Calibri"/>
                <w:sz w:val="22"/>
              </w:rPr>
              <w:t>Open Market Buy</w:t>
            </w:r>
          </w:p>
        </w:tc>
        <w:tc>
          <w:tcPr>
            <w:tcW w:type="dxa" w:w="1234"/>
          </w:tcPr>
          <w:p>
            <w:r>
              <w:rPr>
                <w:rFonts w:ascii="Calibri" w:hAnsi="Calibri"/>
                <w:sz w:val="22"/>
              </w:rPr>
              <w:t>1,370</w:t>
            </w:r>
          </w:p>
        </w:tc>
        <w:tc>
          <w:tcPr>
            <w:tcW w:type="dxa" w:w="1234"/>
          </w:tcPr>
          <w:p>
            <w:r>
              <w:rPr>
                <w:rFonts w:ascii="Calibri" w:hAnsi="Calibri"/>
                <w:sz w:val="22"/>
              </w:rPr>
              <w:t>~$304K (at ~$222/share)</w:t>
            </w:r>
          </w:p>
        </w:tc>
        <w:tc>
          <w:tcPr>
            <w:tcW w:type="dxa" w:w="1234"/>
          </w:tcPr>
          <w:p>
            <w:r>
              <w:rPr>
                <w:rFonts w:ascii="Calibri" w:hAnsi="Calibri"/>
                <w:sz w:val="22"/>
              </w:rPr>
              <w:t>May 20, 2026</w:t>
            </w:r>
          </w:p>
        </w:tc>
        <w:tc>
          <w:tcPr>
            <w:tcW w:type="dxa" w:w="1234"/>
          </w:tcPr>
          <w:p>
            <w:r>
              <w:rPr>
                <w:rFonts w:ascii="Calibri" w:hAnsi="Calibri"/>
                <w:sz w:val="22"/>
              </w:rPr>
              <w:t>Discretionary open-market purchase; filed May 22, 2026. Purchased near 3-month low following China order disappointment. No 10b5-1 plan.</w:t>
            </w:r>
          </w:p>
        </w:tc>
      </w:tr>
    </w:tbl>
    <w:p>
      <w:r>
        <w:rPr>
          <w:rFonts w:ascii="Calibri" w:hAnsi="Calibri"/>
          <w:i/>
          <w:color w:val="525866"/>
          <w:sz w:val="22"/>
        </w:rPr>
        <w:t>Source: SEC Form 4 Filings Database (Insider Transaction Data). Window: April 22, 2026 – July 27, 2026. Only open-market buys (code P) and sells (code S) included. No open-market sales were filed in this period. The single director purchase of 1,370 shares at approximately $222/share on May 20, 2026 — the day after the China order disappointment drove the stock to a near-term low — is a modestly constructive signal but too small to be a meaningful directional indicator.</w:t>
      </w:r>
    </w:p>
    <w:p>
      <w:r>
        <w:rPr>
          <w:rFonts w:ascii="Calibri" w:hAnsi="Calibri"/>
          <w:i/>
          <w:color w:val="525866"/>
          <w:sz w:val="22"/>
        </w:rPr>
        <w:t>No executive (CEO, CFO, or other C-suite) open-market transactions were filed in the period. The absence of insider selling ahead of the Q2 print is consistent with management's constructive tone on the Q1 call.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