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Baxter International (BAX) to build a comprehensive earnings preview. Let me start by gathering recent filings, transcripts, and news.Let me read the Q1 2026 earnings call and investigate that July 14 "release," plus pull recent news and filings.This is very helpful. Key insight: the July 14 document is a</w:t>
      </w:r>
      <w:r>
        <w:t xml:space="preserve"> </w:t>
      </w:r>
      <w:r>
        <w:rPr>
          <w:b/>
          <w:bCs/>
        </w:rPr>
        <w:t xml:space="preserve">segment recast</w:t>
      </w:r>
      <w:r>
        <w:t xml:space="preserve"> </w:t>
      </w:r>
      <w:r>
        <w:t xml:space="preserve">(new reporting basis). Let me gather stock price, recent news/press releases, 8-Ks, and the Q1 earnings release for additional context.The stock is up sharply into the print (~</w:t>
      </w:r>
      <m:oMath>
        <m:r>
          <m:t>21.7</m:t>
        </m:r>
        <m:r>
          <m:t>t</m:t>
        </m:r>
        <m:r>
          <m:t>o</m:t>
        </m:r>
        <m:r>
          <m:t> </m:t>
        </m:r>
      </m:oMath>
      <w:r>
        <w:t xml:space="preserve">24.8 in a week). Let me read the segment recast 8-K narrative and check recent news/analyst activity.Let me pull the Q1 press release for headline guidance/details and search the web for Q2 consensus estimates and any recent catalysts driving the pre-earnings rally.I now have a comprehensive picture. Let me compile a few price/performance stats before writing.# Baxter International (BAX) — Q2 2026 Earnings Preview</w:t>
      </w:r>
    </w:p>
    <w:bookmarkStart w:id="9" w:name="X62410b91c9ce48ccc099aa811f34c44b133305f"/>
    <w:p>
      <w:pPr>
        <w:pStyle w:val="Heading3"/>
      </w:pPr>
      <w:r>
        <w:t xml:space="preserve">Report expected: Thursday, July 30, 2026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a</w:t>
      </w:r>
      <w:r>
        <w:t xml:space="preserve"> </w:t>
      </w:r>
      <w:r>
        <w:rPr>
          <w:b/>
          <w:bCs/>
        </w:rPr>
        <w:t xml:space="preserve">"prove the second-half ramp" quarter.</w:t>
      </w:r>
      <w:r>
        <w:t xml:space="preserve"> </w:t>
      </w:r>
      <w:r>
        <w:t xml:space="preserve">Baxter has told investors that H1 2026 will be pressured by known mechanical headwinds, with the recovery back-half loaded. Q2 is expected to be the</w:t>
      </w:r>
      <w:r>
        <w:t xml:space="preserve"> </w:t>
      </w:r>
      <w:r>
        <w:rPr>
          <w:i/>
          <w:iCs/>
        </w:rPr>
        <w:t xml:space="preserve">trough</w:t>
      </w:r>
      <w:r>
        <w:t xml:space="preserve"> </w:t>
      </w:r>
      <w:r>
        <w:t xml:space="preserve">of the year. The bar is low on the print itself, but the stock has run ~14% in the week into earnings and sits ~57% above its March low — so expectations have quietly reset higher, and the burden shifts to management's credibility on the 2H inflection and any update on the two big overhangs: the</w:t>
      </w:r>
      <w:r>
        <w:t xml:space="preserve"> </w:t>
      </w:r>
      <w:r>
        <w:rPr>
          <w:b/>
          <w:bCs/>
        </w:rPr>
        <w:t xml:space="preserve">Novum IQ pump hold</w:t>
      </w:r>
      <w:r>
        <w:t xml:space="preserve"> </w:t>
      </w:r>
      <w:r>
        <w:t xml:space="preserve">and the</w:t>
      </w:r>
      <w:r>
        <w:t xml:space="preserve"> </w:t>
      </w:r>
      <w:r>
        <w:rPr>
          <w:b/>
          <w:bCs/>
        </w:rPr>
        <w:t xml:space="preserve">permanent CFO search</w:t>
      </w:r>
      <w:r>
        <w:t xml:space="preserve">.</w:t>
      </w:r>
    </w:p>
    <w:p>
      <w:r>
        <w:pict>
          <v:rect style="width:0;height:1.5pt" o:hralign="center" o:hrstd="t" o:hr="t"/>
        </w:pict>
      </w:r>
    </w:p>
    <w:bookmarkEnd w:id="10"/>
    <w:bookmarkStart w:id="11" w:name="price-context-why-the-setup-matters"/>
    <w:p>
      <w:pPr>
        <w:pStyle w:val="Heading2"/>
      </w:pPr>
      <w:r>
        <w:t xml:space="preserve">Price Context (why the setup matters)</w:t>
      </w:r>
    </w:p>
    <w:p>
      <w:pPr>
        <w:pStyle w:val="Compact"/>
        <w:numPr>
          <w:ilvl w:val="0"/>
          <w:numId w:val="1001"/>
        </w:numPr>
      </w:pPr>
      <w:r>
        <w:t xml:space="preserve">BAX closed **~</w:t>
      </w:r>
      <m:oMath>
        <m:r>
          <m:t>24.82</m:t>
        </m:r>
        <m:r>
          <m:t>o</m:t>
        </m:r>
        <m:r>
          <m:t>n</m:t>
        </m:r>
        <m:r>
          <m:t>7</m:t>
        </m:r>
        <m:r>
          <m:rPr>
            <m:sty m:val="p"/>
          </m:rPr>
          <m:t>/</m:t>
        </m:r>
        <m:r>
          <m:t>29</m:t>
        </m:r>
        <m:r>
          <m:rPr>
            <m:sty m:val="p"/>
          </m:rPr>
          <m:t>*</m:t>
        </m:r>
        <m:r>
          <m:rPr>
            <m:sty m:val="p"/>
          </m:rPr>
          <m:t>*</m:t>
        </m:r>
        <m:r>
          <m:rPr>
            <m:sty m:val="p"/>
          </m:rPr>
          <m:t>,</m:t>
        </m:r>
        <m:r>
          <m:t>u</m:t>
        </m:r>
        <m:r>
          <m:t>p</m:t>
        </m:r>
        <m:r>
          <m:rPr>
            <m:sty m:val="p"/>
          </m:rPr>
          <m:t>*</m:t>
        </m:r>
        <m:r>
          <m:rPr>
            <m:sty m:val="p"/>
          </m:rPr>
          <m:t>*</m:t>
        </m:r>
        <m:r>
          <m:t> </m:t>
        </m:r>
        <m:r>
          <m:t>14.5</m:t>
        </m:r>
      </m:oMath>
      <w:r>
        <w:t xml:space="preserve">15.80 (March 30, 2026). It remains down ~14% from a year ago (~$28.84).</w:t>
      </w:r>
    </w:p>
    <w:p>
      <w:pPr>
        <w:pStyle w:val="Compact"/>
        <w:numPr>
          <w:ilvl w:val="0"/>
          <w:numId w:val="1001"/>
        </w:numPr>
      </w:pPr>
      <w:r>
        <w:t xml:space="preserve">The stock has a recent history of violent negative reactions to guidance: it fell</w:t>
      </w:r>
      <w:r>
        <w:t xml:space="preserve"> </w:t>
      </w:r>
      <w:r>
        <w:rPr>
          <w:b/>
          <w:bCs/>
        </w:rPr>
        <w:t xml:space="preserve">~22%</w:t>
      </w:r>
      <w:r>
        <w:t xml:space="preserve"> </w:t>
      </w:r>
      <w:r>
        <w:t xml:space="preserve">the day after the Q2 2025 report and</w:t>
      </w:r>
      <w:r>
        <w:t xml:space="preserve"> </w:t>
      </w:r>
      <w:r>
        <w:rPr>
          <w:b/>
          <w:bCs/>
        </w:rPr>
        <w:t xml:space="preserve">~15%</w:t>
      </w:r>
      <w:r>
        <w:t xml:space="preserve"> </w:t>
      </w:r>
      <w:r>
        <w:t xml:space="preserve">after Q3 2025. That memory, combined with the pre-print rally, raises the risk that an in-line-but-unspectacular quarter disappoints.</w:t>
      </w:r>
    </w:p>
    <w:p>
      <w:pPr>
        <w:pStyle w:val="Compact"/>
        <w:numPr>
          <w:ilvl w:val="0"/>
          <w:numId w:val="1001"/>
        </w:numPr>
      </w:pPr>
      <w:r>
        <w:rPr>
          <w:b/>
          <w:bCs/>
        </w:rPr>
        <w:t xml:space="preserve">Takeaway:</w:t>
      </w:r>
      <w:r>
        <w:t xml:space="preserve"> </w:t>
      </w:r>
      <w:r>
        <w:t xml:space="preserve">the risk/reward has become less asymmetric after the run-up. Management needs to</w:t>
      </w:r>
      <w:r>
        <w:t xml:space="preserve"> </w:t>
      </w:r>
      <w:r>
        <w:rPr>
          <w:i/>
          <w:iCs/>
        </w:rPr>
        <w:t xml:space="preserve">validate</w:t>
      </w:r>
      <w:r>
        <w:t xml:space="preserve"> </w:t>
      </w:r>
      <w:r>
        <w:t xml:space="preserve">the 2H story rather than merely reiterate it.</w:t>
      </w:r>
    </w:p>
    <w:p>
      <w:r>
        <w:pict>
          <v:rect style="width:0;height:1.5pt" o:hralign="center" o:hrstd="t" o:hr="t"/>
        </w:pict>
      </w:r>
    </w:p>
    <w:bookmarkEnd w:id="11"/>
    <w:bookmarkStart w:id="14" w:name="whats-actually-new-this-quarter"/>
    <w:p>
      <w:pPr>
        <w:pStyle w:val="Heading2"/>
      </w:pPr>
      <w:r>
        <w:t xml:space="preserve">What's Actually New This Quarter</w:t>
      </w:r>
    </w:p>
    <w:bookmarkStart w:id="12" w:name="Xe504e23637cfc8e4d1b9c4d39ec3f0783f34aff"/>
    <w:p>
      <w:pPr>
        <w:pStyle w:val="Heading3"/>
      </w:pPr>
      <w:r>
        <w:t xml:space="preserve">1. First report under a NEW two-segment structure</w:t>
      </w:r>
    </w:p>
    <w:p>
      <w:pPr>
        <w:pStyle w:val="FirstParagraph"/>
      </w:pPr>
      <w:r>
        <w:t xml:space="preserve">This is critical for modeling. On July 14, 2026, Baxter recast its historicals:</w:t>
      </w:r>
      <w:r>
        <w:t xml:space="preserve"> </w:t>
      </w:r>
      <w:r>
        <w:rPr>
          <w:b/>
          <w:bCs/>
        </w:rPr>
        <w:t xml:space="preserve">effective Q2 2026 it reports only two segments</w:t>
      </w:r>
      <w:r>
        <w:t xml:space="preserve"> </w:t>
      </w:r>
      <w:r>
        <w:t xml:space="preserve">— Medical Products &amp; Therapies (MPT) and Healthcare Systems &amp; Technologies (HST). The former standalone</w:t>
      </w:r>
      <w:r>
        <w:t xml:space="preserve"> </w:t>
      </w:r>
      <w:r>
        <w:rPr>
          <w:b/>
          <w:bCs/>
        </w:rPr>
        <w:t xml:space="preserve">Pharmaceuticals segment has been folded into MPT</w:t>
      </w:r>
      <w:r>
        <w:t xml:space="preserve">, inside a renamed</w:t>
      </w:r>
      <w:r>
        <w:t xml:space="preserve"> </w:t>
      </w:r>
      <w:r>
        <w:rPr>
          <w:b/>
          <w:bCs/>
        </w:rPr>
        <w:t xml:space="preserve">Infusion Therapies &amp; Platforms (ITP)</w:t>
      </w:r>
      <w:r>
        <w:t xml:space="preserve"> </w:t>
      </w:r>
      <w:r>
        <w:t xml:space="preserve">division (ITP now = the old Infusion Therapies &amp; Technologies</w:t>
      </w:r>
      <w:r>
        <w:t xml:space="preserve"> </w:t>
      </w:r>
      <w:r>
        <w:rPr>
          <w:i/>
          <w:iCs/>
        </w:rPr>
        <w:t xml:space="preserve">plus</w:t>
      </w:r>
      <w:r>
        <w:t xml:space="preserve"> </w:t>
      </w:r>
      <w:r>
        <w:t xml:space="preserve">injectables, inhaled anesthesia, and drug compounding). Additionally, some corporate costs that were previously fully allocated to segments will now</w:t>
      </w:r>
      <w:r>
        <w:t xml:space="preserve"> </w:t>
      </w:r>
      <w:r>
        <w:rPr>
          <w:b/>
          <w:bCs/>
        </w:rPr>
        <w:t xml:space="preserve">remain unallocated</w:t>
      </w:r>
      <w:r>
        <w:t xml:space="preserve">, which changes reported segment margins.</w:t>
      </w:r>
    </w:p>
    <w:p>
      <w:pPr>
        <w:pStyle w:val="Compact"/>
        <w:numPr>
          <w:ilvl w:val="0"/>
          <w:numId w:val="1002"/>
        </w:numPr>
      </w:pPr>
      <w:r>
        <w:rPr>
          <w:b/>
          <w:bCs/>
        </w:rPr>
        <w:t xml:space="preserve">Watch:</w:t>
      </w:r>
      <w:r>
        <w:t xml:space="preserve"> </w:t>
      </w:r>
      <w:r>
        <w:t xml:space="preserve">don't compare Q2 segment margins to old-basis models. On a recast basis, MPT posted ~</w:t>
      </w:r>
      <m:oMath>
        <m:r>
          <m:t>1.92</m:t>
        </m:r>
        <m:r>
          <m:t>B</m:t>
        </m:r>
        <m:r>
          <m:t>s</m:t>
        </m:r>
        <m:r>
          <m:t>a</m:t>
        </m:r>
        <m:r>
          <m:t>l</m:t>
        </m:r>
        <m:r>
          <m:t>e</m:t>
        </m:r>
        <m:r>
          <m:t>s</m:t>
        </m:r>
        <m:r>
          <m:t>i</m:t>
        </m:r>
        <m:r>
          <m:t>n</m:t>
        </m:r>
        <m:r>
          <m:t>Q</m:t>
        </m:r>
        <m:sSup>
          <m:e>
            <m:r>
              <m:t>1</m:t>
            </m:r>
          </m:e>
          <m:sup>
            <m:r>
              <m:rPr>
                <m:sty m:val="p"/>
              </m:rPr>
              <m:t>′</m:t>
            </m:r>
          </m:sup>
        </m:sSup>
        <m:r>
          <m:t>26</m:t>
        </m:r>
        <m:r>
          <m:t>a</m:t>
        </m:r>
        <m:r>
          <m:t>n</m:t>
        </m:r>
        <m:r>
          <m:t>d</m:t>
        </m:r>
        <m:r>
          <m:t>H</m:t>
        </m:r>
        <m:r>
          <m:t>S</m:t>
        </m:r>
        <m:r>
          <m:t>T</m:t>
        </m:r>
        <m:r>
          <m:t> </m:t>
        </m:r>
      </m:oMath>
      <w:r>
        <w:t xml:space="preserve">705M. Q2'25 recast total company sales were **~$2.81B** — the key top-line comp.</w:t>
      </w:r>
    </w:p>
    <w:bookmarkEnd w:id="12"/>
    <w:bookmarkStart w:id="13" w:name="X8e343a0779b36721f14f7582010ddd0f9fcfc82"/>
    <w:p>
      <w:pPr>
        <w:pStyle w:val="Heading3"/>
      </w:pPr>
      <w:r>
        <w:t xml:space="preserve">2. The heavily back-half-weighted guide is the whole ballgame</w:t>
      </w:r>
    </w:p>
    <w:p>
      <w:pPr>
        <w:pStyle w:val="FirstParagraph"/>
      </w:pPr>
      <w:r>
        <w:t xml:space="preserve">Full-year guidance (reiterated at Q1) is</w:t>
      </w:r>
      <w:r>
        <w:t xml:space="preserve"> </w:t>
      </w:r>
      <w:r>
        <w:rPr>
          <w:b/>
          <w:bCs/>
        </w:rPr>
        <w:t xml:space="preserve">reported sales flat to +1%, organic ~flat, and adjusted EPS of</w:t>
      </w:r>
      <w:r>
        <w:rPr>
          <w:b/>
          <w:bCs/>
        </w:rPr>
        <w:t xml:space="preserve"> </w:t>
      </w:r>
      <m:oMath>
        <m:r>
          <m:t>1.85</m:t>
        </m:r>
        <m:r>
          <m:rPr>
            <m:sty m:val="p"/>
          </m:rPr>
          <m:t>–</m:t>
        </m:r>
      </m:oMath>
      <w:r>
        <w:rPr>
          <w:b/>
          <w:bCs/>
        </w:rPr>
        <w:t xml:space="preserve">2.05</w:t>
      </w:r>
      <w:r>
        <w:t xml:space="preserve">, with full-year adjusted operating margin of</w:t>
      </w:r>
      <w:r>
        <w:t xml:space="preserve"> </w:t>
      </w:r>
      <w:r>
        <w:rPr>
          <w:b/>
          <w:bCs/>
        </w:rPr>
        <w:t xml:space="preserve">13–14%</w:t>
      </w:r>
      <w:r>
        <w:t xml:space="preserve">. Management explicitly guided</w:t>
      </w:r>
      <w:r>
        <w:t xml:space="preserve"> </w:t>
      </w:r>
      <w:r>
        <w:rPr>
          <w:b/>
          <w:bCs/>
        </w:rPr>
        <w:t xml:space="preserve">Q2 EPS to be "similar to Q1" (~$0.36) with only slight volume improvement</w:t>
      </w:r>
      <w:r>
        <w:t xml:space="preserve">, because the ITP absorption headwind is</w:t>
      </w:r>
      <w:r>
        <w:t xml:space="preserve"> </w:t>
      </w:r>
      <w:r>
        <w:rPr>
          <w:i/>
          <w:iCs/>
        </w:rPr>
        <w:t xml:space="preserve">most pronounced in Q2</w:t>
      </w:r>
      <w:r>
        <w:t xml:space="preserve">.</w:t>
      </w:r>
    </w:p>
    <w:p>
      <w:pPr>
        <w:pStyle w:val="Compact"/>
        <w:numPr>
          <w:ilvl w:val="0"/>
          <w:numId w:val="1003"/>
        </w:numPr>
      </w:pPr>
      <w:r>
        <w:t xml:space="preserve">The math is demanding: H1 adjusted EPS is tracking to roughly</w:t>
      </w:r>
      <w:r>
        <w:t xml:space="preserve"> </w:t>
      </w:r>
      <w:r>
        <w:rPr>
          <w:b/>
          <w:bCs/>
        </w:rPr>
        <w:t xml:space="preserve">~$0.73</w:t>
      </w:r>
      <w:r>
        <w:t xml:space="preserve"> </w:t>
      </w:r>
      <w:r>
        <w:t xml:space="preserve">(Q1</w:t>
      </w:r>
      <w:r>
        <w:t xml:space="preserve"> </w:t>
      </w:r>
      <m:oMath>
        <m:r>
          <m:t>0.36</m:t>
        </m:r>
        <m:r>
          <m:rPr>
            <m:sty m:val="p"/>
          </m:rPr>
          <m:t>+</m:t>
        </m:r>
        <m:r>
          <m:t>a</m:t>
        </m:r>
        <m:r>
          <m:t>Q</m:t>
        </m:r>
        <m:r>
          <m:t>2</m:t>
        </m:r>
        <m:r>
          <m:t>i</m:t>
        </m:r>
        <m:r>
          <m:t>n</m:t>
        </m:r>
        <m:r>
          <m:t>t</m:t>
        </m:r>
        <m:r>
          <m:t>h</m:t>
        </m:r>
        <m:r>
          <m:t>e</m:t>
        </m:r>
        <m:r>
          <m:t> </m:t>
        </m:r>
      </m:oMath>
      <w:r>
        <w:t xml:space="preserve">0.36–0.38 zone), which implies</w:t>
      </w:r>
      <w:r>
        <w:t xml:space="preserve"> </w:t>
      </w:r>
      <w:r>
        <w:rPr>
          <w:b/>
          <w:bCs/>
        </w:rPr>
        <w:t xml:space="preserve">~$1.22 of EPS in H2</w:t>
      </w:r>
      <w:r>
        <w:t xml:space="preserve"> </w:t>
      </w:r>
      <w:r>
        <w:t xml:space="preserve">at the midpoint — nearly</w:t>
      </w:r>
      <w:r>
        <w:t xml:space="preserve"> </w:t>
      </w:r>
      <w:r>
        <w:rPr>
          <w:b/>
          <w:bCs/>
        </w:rPr>
        <w:t xml:space="preserve">double</w:t>
      </w:r>
      <w:r>
        <w:t xml:space="preserve"> </w:t>
      </w:r>
      <w:r>
        <w:t xml:space="preserve">the H1 run-rate.</w:t>
      </w:r>
    </w:p>
    <w:p>
      <w:pPr>
        <w:pStyle w:val="Compact"/>
        <w:numPr>
          <w:ilvl w:val="0"/>
          <w:numId w:val="1003"/>
        </w:numPr>
      </w:pPr>
      <w:r>
        <w:t xml:space="preserve">Management's bridge for the implied</w:t>
      </w:r>
      <w:r>
        <w:t xml:space="preserve"> </w:t>
      </w:r>
      <w:r>
        <w:rPr>
          <w:b/>
          <w:bCs/>
        </w:rPr>
        <w:t xml:space="preserve">~500 bps H1→H2 margin expansion</w:t>
      </w:r>
      <w:r>
        <w:t xml:space="preserve">: ~250 bps from volume leverage/seasonality, ~125 bps from cost actions ("largely complete"), and ~125 bps from rolling through high-cost 2025 inventory (which clears in Q2).</w:t>
      </w:r>
    </w:p>
    <w:p>
      <w:pPr>
        <w:pStyle w:val="Compact"/>
        <w:numPr>
          <w:ilvl w:val="0"/>
          <w:numId w:val="1003"/>
        </w:numPr>
      </w:pPr>
      <w:r>
        <w:rPr>
          <w:b/>
          <w:bCs/>
        </w:rPr>
        <w:t xml:space="preserve">Watch:</w:t>
      </w:r>
      <w:r>
        <w:t xml:space="preserve"> </w:t>
      </w:r>
      <w:r>
        <w:t xml:space="preserve">any wording that softens the 2H ramp — or any sign the Q2 absorption hit is worse than "trough" — would be the single biggest negative catalyst. Conversely, confidence signposts (order book, cost-action completion) support the guide.</w:t>
      </w:r>
    </w:p>
    <w:p>
      <w:r>
        <w:pict>
          <v:rect style="width:0;height:1.5pt" o:hralign="center" o:hrstd="t" o:hr="t"/>
        </w:pict>
      </w:r>
    </w:p>
    <w:bookmarkEnd w:id="13"/>
    <w:bookmarkEnd w:id="14"/>
    <w:bookmarkStart w:id="15" w:name="segment-level-watch-items"/>
    <w:p>
      <w:pPr>
        <w:pStyle w:val="Heading2"/>
      </w:pPr>
      <w:r>
        <w:t xml:space="preserve">Segment-Level Watch Items</w:t>
      </w:r>
    </w:p>
    <w:p>
      <w:pPr>
        <w:pStyle w:val="FirstParagraph"/>
      </w:pPr>
      <w:r>
        <w:rPr>
          <w:b/>
          <w:bCs/>
        </w:rPr>
        <w:t xml:space="preserve">Infusion Therapies &amp; Platforms (new ITP, within MPT)</w:t>
      </w:r>
    </w:p>
    <w:p>
      <w:pPr>
        <w:pStyle w:val="Compact"/>
        <w:numPr>
          <w:ilvl w:val="0"/>
          <w:numId w:val="1004"/>
        </w:numPr>
      </w:pPr>
      <w:r>
        <w:rPr>
          <w:b/>
          <w:bCs/>
        </w:rPr>
        <w:t xml:space="preserve">Novum IQ LVP shipment/installation hold</w:t>
      </w:r>
      <w:r>
        <w:t xml:space="preserve"> </w:t>
      </w:r>
      <w:r>
        <w:t xml:space="preserve">remains the dominant swing factor. Guidance</w:t>
      </w:r>
      <w:r>
        <w:t xml:space="preserve"> </w:t>
      </w:r>
      <w:r>
        <w:rPr>
          <w:i/>
          <w:iCs/>
        </w:rPr>
        <w:t xml:space="preserve">assumes the hold stays in place all year</w:t>
      </w:r>
      <w:r>
        <w:t xml:space="preserve"> </w:t>
      </w:r>
      <w:r>
        <w:t xml:space="preserve">and</w:t>
      </w:r>
      <w:r>
        <w:t xml:space="preserve"> </w:t>
      </w:r>
      <w:r>
        <w:rPr>
          <w:i/>
          <w:iCs/>
        </w:rPr>
        <w:t xml:space="preserve">bakes in potential customer returns</w:t>
      </w:r>
      <w:r>
        <w:t xml:space="preserve">, even though returns have been immaterial so far.</w:t>
      </w:r>
      <w:r>
        <w:t xml:space="preserve"> </w:t>
      </w:r>
      <w:r>
        <w:rPr>
          <w:b/>
          <w:bCs/>
        </w:rPr>
        <w:t xml:space="preserve">Q2 is the last quarter before the Novum sales headwind laps.</w:t>
      </w:r>
      <w:r>
        <w:t xml:space="preserve"> </w:t>
      </w:r>
      <w:r>
        <w:t xml:space="preserve">Any update on the hardware/software fix, regulatory refiling, or return activity is a catalyst either way. Management is leaning on the</w:t>
      </w:r>
      <w:r>
        <w:t xml:space="preserve"> </w:t>
      </w:r>
      <w:r>
        <w:rPr>
          <w:b/>
          <w:bCs/>
        </w:rPr>
        <w:t xml:space="preserve">Spectrum LVP</w:t>
      </w:r>
      <w:r>
        <w:t xml:space="preserve"> </w:t>
      </w:r>
      <w:r>
        <w:t xml:space="preserve">and newly launched</w:t>
      </w:r>
      <w:r>
        <w:t xml:space="preserve"> </w:t>
      </w:r>
      <w:r>
        <w:rPr>
          <w:b/>
          <w:bCs/>
        </w:rPr>
        <w:t xml:space="preserve">Novum syringe</w:t>
      </w:r>
      <w:r>
        <w:t xml:space="preserve"> </w:t>
      </w:r>
      <w:r>
        <w:t xml:space="preserve">pumps to defend the high-margin IV set/disposables base.</w:t>
      </w:r>
    </w:p>
    <w:p>
      <w:pPr>
        <w:pStyle w:val="Compact"/>
        <w:numPr>
          <w:ilvl w:val="0"/>
          <w:numId w:val="1004"/>
        </w:numPr>
      </w:pPr>
      <w:r>
        <w:rPr>
          <w:b/>
          <w:bCs/>
        </w:rPr>
        <w:t xml:space="preserve">IV Solutions:</w:t>
      </w:r>
      <w:r>
        <w:t xml:space="preserve"> </w:t>
      </w:r>
      <w:r>
        <w:t xml:space="preserve">management says clinical-practice changes created a "new baseline"; they expect this to normalize during 2026 (lapping the Hurricane Helene distributor build that inflated 1H'25).</w:t>
      </w:r>
    </w:p>
    <w:p>
      <w:pPr>
        <w:pStyle w:val="Compact"/>
        <w:numPr>
          <w:ilvl w:val="0"/>
          <w:numId w:val="1004"/>
        </w:numPr>
      </w:pPr>
      <w:r>
        <w:rPr>
          <w:b/>
          <w:bCs/>
        </w:rPr>
        <w:t xml:space="preserve">Injectables &amp; Anesthesia:</w:t>
      </w:r>
      <w:r>
        <w:t xml:space="preserve"> </w:t>
      </w:r>
      <w:r>
        <w:t xml:space="preserve">the weak spot — down 13% organic in Q1 on supply constraints, premix softness, and IV-push utilization. A</w:t>
      </w:r>
      <w:r>
        <w:t xml:space="preserve"> </w:t>
      </w:r>
      <w:r>
        <w:rPr>
          <w:b/>
          <w:bCs/>
        </w:rPr>
        <w:t xml:space="preserve">contract-manufacturer disruption is expected to constrain supply into 2027.</w:t>
      </w:r>
      <w:r>
        <w:t xml:space="preserve"> </w:t>
      </w:r>
      <w:r>
        <w:t xml:space="preserve">Offset by</w:t>
      </w:r>
      <w:r>
        <w:t xml:space="preserve"> </w:t>
      </w:r>
      <w:r>
        <w:rPr>
          <w:b/>
          <w:bCs/>
        </w:rPr>
        <w:t xml:space="preserve">Drug Compounding (+20% organic)</w:t>
      </w:r>
      <w:r>
        <w:t xml:space="preserve">.</w:t>
      </w:r>
    </w:p>
    <w:p>
      <w:pPr>
        <w:pStyle w:val="Compact"/>
        <w:numPr>
          <w:ilvl w:val="0"/>
          <w:numId w:val="1004"/>
        </w:numPr>
      </w:pPr>
      <w:r>
        <w:rPr>
          <w:b/>
          <w:bCs/>
        </w:rPr>
        <w:t xml:space="preserve">Advanced Surgery:</w:t>
      </w:r>
      <w:r>
        <w:t xml:space="preserve"> </w:t>
      </w:r>
      <w:r>
        <w:t xml:space="preserve">the consistent bright spot (+10% organic in Q1, hemostats/sealants). Look for continued double-digit-ish growth.</w:t>
      </w:r>
    </w:p>
    <w:p>
      <w:pPr>
        <w:pStyle w:val="FirstParagraph"/>
      </w:pPr>
      <w:r>
        <w:rPr>
          <w:b/>
          <w:bCs/>
        </w:rPr>
        <w:t xml:space="preserve">Healthcare Systems &amp; Technologies (HST)</w:t>
      </w:r>
    </w:p>
    <w:p>
      <w:pPr>
        <w:pStyle w:val="Compact"/>
        <w:numPr>
          <w:ilvl w:val="0"/>
          <w:numId w:val="1005"/>
        </w:numPr>
      </w:pPr>
      <w:r>
        <w:t xml:space="preserve">HST was down 2% organic in Q1 (Front Line Care order timing + planned portfolio exits). Management expects</w:t>
      </w:r>
      <w:r>
        <w:t xml:space="preserve"> </w:t>
      </w:r>
      <w:r>
        <w:rPr>
          <w:b/>
          <w:bCs/>
        </w:rPr>
        <w:t xml:space="preserve">low-single-digit HST growth for the year, back-half weighted</w:t>
      </w:r>
      <w:r>
        <w:t xml:space="preserve">, driven by new launches (</w:t>
      </w:r>
      <w:r>
        <w:rPr>
          <w:b/>
          <w:bCs/>
        </w:rPr>
        <w:t xml:space="preserve">Connex 360, Dynamo</w:t>
      </w:r>
      <w:r>
        <w:t xml:space="preserve"> </w:t>
      </w:r>
      <w:r>
        <w:t xml:space="preserve">smart stretcher) and a "strong U.S. capital order book." Q2 will likely still be soft; the proof is the order-to-revenue conversion into H2.</w:t>
      </w:r>
    </w:p>
    <w:p>
      <w:pPr>
        <w:pStyle w:val="Compact"/>
        <w:numPr>
          <w:ilvl w:val="0"/>
          <w:numId w:val="1005"/>
        </w:numPr>
      </w:pPr>
      <w:r>
        <w:rPr>
          <w:b/>
          <w:bCs/>
        </w:rPr>
        <w:t xml:space="preserve">Watch:</w:t>
      </w:r>
      <w:r>
        <w:t xml:space="preserve"> </w:t>
      </w:r>
      <w:r>
        <w:t xml:space="preserve">any commentary on U.S. hospital capital-spending health — management says it has seen</w:t>
      </w:r>
      <w:r>
        <w:t xml:space="preserve"> </w:t>
      </w:r>
      <w:r>
        <w:rPr>
          <w:i/>
          <w:iCs/>
        </w:rPr>
        <w:t xml:space="preserve">no</w:t>
      </w:r>
      <w:r>
        <w:t xml:space="preserve"> </w:t>
      </w:r>
      <w:r>
        <w:t xml:space="preserve">slowdown yet, but flagged macro uncertainty.</w:t>
      </w:r>
    </w:p>
    <w:p>
      <w:r>
        <w:pict>
          <v:rect style="width:0;height:1.5pt" o:hralign="center" o:hrstd="t" o:hr="t"/>
        </w:pict>
      </w:r>
    </w:p>
    <w:bookmarkEnd w:id="15"/>
    <w:bookmarkStart w:id="16" w:name="overhangs--catalysts-beyond-the-pl"/>
    <w:p>
      <w:pPr>
        <w:pStyle w:val="Heading2"/>
      </w:pPr>
      <w:r>
        <w:t xml:space="preserve">Overhangs &amp; Catalysts Beyond the P&amp;L</w:t>
      </w:r>
    </w:p>
    <w:p>
      <w:pPr>
        <w:pStyle w:val="Compact"/>
        <w:numPr>
          <w:ilvl w:val="0"/>
          <w:numId w:val="1006"/>
        </w:numPr>
      </w:pPr>
      <w:r>
        <w:rPr>
          <w:b/>
          <w:bCs/>
        </w:rPr>
        <w:t xml:space="preserve">CFO search:</w:t>
      </w:r>
      <w:r>
        <w:t xml:space="preserve"> </w:t>
      </w:r>
      <w:r>
        <w:t xml:space="preserve">Joel Grade departed;</w:t>
      </w:r>
      <w:r>
        <w:t xml:space="preserve"> </w:t>
      </w:r>
      <w:r>
        <w:rPr>
          <w:b/>
          <w:bCs/>
        </w:rPr>
        <w:t xml:space="preserve">Anita Zielinski is interim CFO</w:t>
      </w:r>
      <w:r>
        <w:t xml:space="preserve"> </w:t>
      </w:r>
      <w:r>
        <w:t xml:space="preserve">(also Chief Accounting Officer/Controller). A permanent hire announcement is a potential catalyst and would remove a governance overhang. Management said the search is "well underway."</w:t>
      </w:r>
    </w:p>
    <w:p>
      <w:pPr>
        <w:pStyle w:val="Compact"/>
        <w:numPr>
          <w:ilvl w:val="0"/>
          <w:numId w:val="1006"/>
        </w:numPr>
      </w:pPr>
      <w:r>
        <w:rPr>
          <w:b/>
          <w:bCs/>
        </w:rPr>
        <w:t xml:space="preserve">Balance sheet / deleveraging:</w:t>
      </w:r>
      <w:r>
        <w:t xml:space="preserve"> </w:t>
      </w:r>
      <w:r>
        <w:t xml:space="preserve">the #1 capital-allocation priority is debt paydown, targeting</w:t>
      </w:r>
      <w:r>
        <w:t xml:space="preserve"> </w:t>
      </w:r>
      <w:r>
        <w:rPr>
          <w:b/>
          <w:bCs/>
        </w:rPr>
        <w:t xml:space="preserve">~3x net leverage by year-end 2026.</w:t>
      </w:r>
      <w:r>
        <w:t xml:space="preserve"> </w:t>
      </w:r>
      <w:r>
        <w:t xml:space="preserve">FCF turned positive in Q1 (</w:t>
      </w:r>
      <w:r>
        <w:rPr>
          <w:b/>
          <w:bCs/>
        </w:rPr>
        <w:t xml:space="preserve">+</w:t>
      </w:r>
      <m:oMath>
        <m:r>
          <m:t>76</m:t>
        </m:r>
        <m:r>
          <m:t>M</m:t>
        </m:r>
        <m:r>
          <m:t>v</m:t>
        </m:r>
        <m:r>
          <m:t>s</m:t>
        </m:r>
        <m:r>
          <m:rPr>
            <m:sty m:val="p"/>
          </m:rPr>
          <m:t>.</m:t>
        </m:r>
        <m:r>
          <m:rPr>
            <m:sty m:val="p"/>
          </m:rPr>
          <m:t>–</m:t>
        </m:r>
      </m:oMath>
      <w:r>
        <w:rPr>
          <w:b/>
          <w:bCs/>
        </w:rPr>
        <w:t xml:space="preserve">221M</w:t>
      </w:r>
      <w:r>
        <w:t xml:space="preserve"> </w:t>
      </w:r>
      <w:r>
        <w:t xml:space="preserve">a year ago) on working-capital improvement, and FCF is expected to be back-half weighted. Progress here is central to the equity story. Note the dividend was cut to a token</w:t>
      </w:r>
      <w:r>
        <w:t xml:space="preserve"> </w:t>
      </w:r>
      <w:r>
        <w:rPr>
          <w:b/>
          <w:bCs/>
        </w:rPr>
        <w:t xml:space="preserve">$0.01/quarter</w:t>
      </w:r>
      <w:r>
        <w:t xml:space="preserve"> </w:t>
      </w:r>
      <w:r>
        <w:t xml:space="preserve">— capital is going to debt, with buybacks/tuck-in M&amp;A only</w:t>
      </w:r>
      <w:r>
        <w:t xml:space="preserve"> </w:t>
      </w:r>
      <w:r>
        <w:rPr>
          <w:i/>
          <w:iCs/>
        </w:rPr>
        <w:t xml:space="preserve">after</w:t>
      </w:r>
      <w:r>
        <w:t xml:space="preserve"> </w:t>
      </w:r>
      <w:r>
        <w:t xml:space="preserve">the leverage target is hit.</w:t>
      </w:r>
    </w:p>
    <w:p>
      <w:pPr>
        <w:pStyle w:val="Compact"/>
        <w:numPr>
          <w:ilvl w:val="0"/>
          <w:numId w:val="1006"/>
        </w:numPr>
      </w:pPr>
      <w:r>
        <w:rPr>
          <w:b/>
          <w:bCs/>
        </w:rPr>
        <w:t xml:space="preserve">Tariffs/inflation:</w:t>
      </w:r>
      <w:r>
        <w:t xml:space="preserve"> </w:t>
      </w:r>
      <w:r>
        <w:t xml:space="preserve">~</w:t>
      </w:r>
      <m:oMath>
        <m:r>
          <m:t>80</m:t>
        </m:r>
        <m:r>
          <m:t>M</m:t>
        </m:r>
        <m:r>
          <m:t>f</m:t>
        </m:r>
        <m:r>
          <m:t>u</m:t>
        </m:r>
        <m:r>
          <m:t>l</m:t>
        </m:r>
        <m:r>
          <m:t>l</m:t>
        </m:r>
        <m:r>
          <m:rPr>
            <m:sty m:val="p"/>
          </m:rPr>
          <m:t>−</m:t>
        </m:r>
        <m:r>
          <m:t>y</m:t>
        </m:r>
        <m:r>
          <m:t>e</m:t>
        </m:r>
        <m:r>
          <m:t>a</m:t>
        </m:r>
        <m:r>
          <m:t>r</m:t>
        </m:r>
        <m:r>
          <m:t>t</m:t>
        </m:r>
        <m:r>
          <m:t>a</m:t>
        </m:r>
        <m:r>
          <m:t>r</m:t>
        </m:r>
        <m:r>
          <m:t>i</m:t>
        </m:r>
        <m:r>
          <m:t>f</m:t>
        </m:r>
        <m:r>
          <m:t>f</m:t>
        </m:r>
        <m:r>
          <m:t>i</m:t>
        </m:r>
        <m:r>
          <m:t>m</m:t>
        </m:r>
        <m:r>
          <m:t>p</m:t>
        </m:r>
        <m:r>
          <m:t>a</m:t>
        </m:r>
        <m:r>
          <m:t>c</m:t>
        </m:r>
        <m:r>
          <m:t>t</m:t>
        </m:r>
        <m:r>
          <m:rPr>
            <m:sty m:val="p"/>
          </m:rPr>
          <m:t>(</m:t>
        </m:r>
        <m:r>
          <m:t> </m:t>
        </m:r>
      </m:oMath>
      <w:r>
        <w:t xml:space="preserve">40M incremental YoY) is embedded; oil/freight/chips are being actively mitigated (Kidney Care divestiture roughly halved oil sensitivity). Watch for any change to the tariff estimate.</w:t>
      </w:r>
    </w:p>
    <w:p>
      <w:pPr>
        <w:pStyle w:val="Compact"/>
        <w:numPr>
          <w:ilvl w:val="0"/>
          <w:numId w:val="1006"/>
        </w:numPr>
      </w:pPr>
      <w:r>
        <w:rPr>
          <w:b/>
          <w:bCs/>
        </w:rPr>
        <w:t xml:space="preserve">"Baxter GPS" turnaround:</w:t>
      </w:r>
      <w:r>
        <w:t xml:space="preserve"> </w:t>
      </w:r>
      <w:r>
        <w:t xml:space="preserve">CEO Andrew Hider's continuous-improvement operating system (230+ events in Q1) — largely a qualitative/culture story for now, but the source of the promised cost savings and margin/FCF durability.</w:t>
      </w:r>
    </w:p>
    <w:p>
      <w:r>
        <w:pict>
          <v:rect style="width:0;height:1.5pt" o:hralign="center" o:hrstd="t" o:hr="t"/>
        </w:pict>
      </w:r>
    </w:p>
    <w:bookmarkEnd w:id="16"/>
    <w:bookmarkStart w:id="17" w:name="bottom-line--what-to-focus-on"/>
    <w:p>
      <w:pPr>
        <w:pStyle w:val="Heading2"/>
      </w:pPr>
      <w:r>
        <w:t xml:space="preserve">Bottom Line — What to Focus On</w:t>
      </w:r>
    </w:p>
    <w:p>
      <w:pPr>
        <w:pStyle w:val="Compact"/>
        <w:numPr>
          <w:ilvl w:val="0"/>
          <w:numId w:val="1007"/>
        </w:numPr>
      </w:pPr>
      <w:r>
        <w:rPr>
          <w:b/>
          <w:bCs/>
        </w:rPr>
        <w:t xml:space="preserve">Does Q2 confirm the trough?</w:t>
      </w:r>
      <w:r>
        <w:t xml:space="preserve"> </w:t>
      </w:r>
      <w:r>
        <w:t xml:space="preserve">An EPS near ~$0.36–0.38 with a clean line-of-sight to the 2H ramp is the "as expected" outcome. The reaction hinges on</w:t>
      </w:r>
      <w:r>
        <w:t xml:space="preserve"> </w:t>
      </w:r>
      <w:r>
        <w:rPr>
          <w:i/>
          <w:iCs/>
        </w:rPr>
        <w:t xml:space="preserve">guidance tone</w:t>
      </w:r>
      <w:r>
        <w:t xml:space="preserve">, not the Q2 number.</w:t>
      </w:r>
    </w:p>
    <w:p>
      <w:pPr>
        <w:pStyle w:val="Compact"/>
        <w:numPr>
          <w:ilvl w:val="0"/>
          <w:numId w:val="1007"/>
        </w:numPr>
      </w:pPr>
      <w:r>
        <w:rPr>
          <w:b/>
          <w:bCs/>
        </w:rPr>
        <w:t xml:space="preserve">FY guide:</w:t>
      </w:r>
      <w:r>
        <w:t xml:space="preserve"> </w:t>
      </w:r>
      <w:r>
        <w:t xml:space="preserve">reiterated</w:t>
      </w:r>
      <w:r>
        <w:t xml:space="preserve"> </w:t>
      </w:r>
      <m:oMath>
        <m:r>
          <m:t>1.85</m:t>
        </m:r>
        <m:r>
          <m:rPr>
            <m:sty m:val="p"/>
          </m:rPr>
          <m:t>–</m:t>
        </m:r>
      </m:oMath>
      <w:r>
        <w:t xml:space="preserve">2.05 is the base case; a</w:t>
      </w:r>
      <w:r>
        <w:t xml:space="preserve"> </w:t>
      </w:r>
      <w:r>
        <w:rPr>
          <w:b/>
          <w:bCs/>
        </w:rPr>
        <w:t xml:space="preserve">raise</w:t>
      </w:r>
      <w:r>
        <w:t xml:space="preserve"> </w:t>
      </w:r>
      <w:r>
        <w:t xml:space="preserve">would be a strong signal, any</w:t>
      </w:r>
      <w:r>
        <w:t xml:space="preserve"> </w:t>
      </w:r>
      <w:r>
        <w:rPr>
          <w:b/>
          <w:bCs/>
        </w:rPr>
        <w:t xml:space="preserve">trim</w:t>
      </w:r>
      <w:r>
        <w:t xml:space="preserve"> </w:t>
      </w:r>
      <w:r>
        <w:t xml:space="preserve">likely punished hard given the pre-print rally.</w:t>
      </w:r>
    </w:p>
    <w:p>
      <w:pPr>
        <w:pStyle w:val="Compact"/>
        <w:numPr>
          <w:ilvl w:val="0"/>
          <w:numId w:val="1007"/>
        </w:numPr>
      </w:pPr>
      <w:r>
        <w:rPr>
          <w:b/>
          <w:bCs/>
        </w:rPr>
        <w:t xml:space="preserve">Novum update</w:t>
      </w:r>
      <w:r>
        <w:t xml:space="preserve"> </w:t>
      </w:r>
      <w:r>
        <w:t xml:space="preserve">— the biggest binary.</w:t>
      </w:r>
    </w:p>
    <w:p>
      <w:pPr>
        <w:pStyle w:val="Compact"/>
        <w:numPr>
          <w:ilvl w:val="0"/>
          <w:numId w:val="1007"/>
        </w:numPr>
      </w:pPr>
      <w:r>
        <w:rPr>
          <w:b/>
          <w:bCs/>
        </w:rPr>
        <w:t xml:space="preserve">New segment disclosures</w:t>
      </w:r>
      <w:r>
        <w:t xml:space="preserve"> </w:t>
      </w:r>
      <w:r>
        <w:t xml:space="preserve">— recalibrate models to the two-segment basis.</w:t>
      </w:r>
    </w:p>
    <w:p>
      <w:pPr>
        <w:pStyle w:val="Compact"/>
        <w:numPr>
          <w:ilvl w:val="0"/>
          <w:numId w:val="1007"/>
        </w:numPr>
      </w:pPr>
      <w:r>
        <w:rPr>
          <w:b/>
          <w:bCs/>
        </w:rPr>
        <w:t xml:space="preserve">CFO hire + deleveraging/FCF progress</w:t>
      </w:r>
      <w:r>
        <w:t xml:space="preserve"> </w:t>
      </w:r>
      <w:r>
        <w:t xml:space="preserve">— the credibility and balance-sheet legs of the turnaround.</w:t>
      </w:r>
    </w:p>
    <w:p>
      <w:pPr>
        <w:pStyle w:val="FirstParagraph"/>
      </w:pPr>
      <w:r>
        <w:t xml:space="preserve">Given the ~14% run into the print and BAX's track record of sharp post-earnings moves, an in-line quarter with an unchanged, back-half-dependent guide may not be enough to sustain the recent momentum — the market will want evidence the second-half acceleration is already visible in orders, costs, and cash.</w:t>
      </w:r>
    </w:p>
    <w:p>
      <w:pPr>
        <w:pStyle w:val="BodyText"/>
      </w:pPr>
      <w:r>
        <w:rPr>
          <w:i/>
          <w:iCs/>
        </w:rPr>
        <w:t xml:space="preserve">Note: I was unable to retrieve live sell-side consensus estimates for the quarter, so the benchmarks above are anchored to management's own reiterated guidance and Q2 framework rather than to Street numbers.</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2026-07-29T18:19:16Z</dcterms:created>
  <dcterms:modified xsi:type="dcterms:W3CDTF">2026-07-29T18:19:16Z</dcterms:modified>
</cp:coreProperties>
</file>

<file path=docProps/custom.xml><?xml version="1.0" encoding="utf-8"?>
<Properties xmlns="http://schemas.openxmlformats.org/officeDocument/2006/custom-properties" xmlns:vt="http://schemas.openxmlformats.org/officeDocument/2006/docPropsVTypes"/>
</file>