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bax-earnings-predictions--2026-07-30"/>
    <w:p>
      <w:pPr>
        <w:pStyle w:val="Heading1"/>
      </w:pPr>
      <w:r>
        <w:t xml:space="preserve">BAX Earnings Predictions — 2026-07-30</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BAX</w:t>
            </w:r>
          </w:p>
        </w:tc>
        <w:tc>
          <w:tcPr/>
          <w:p>
            <w:pPr>
              <w:pStyle w:val="Compact"/>
            </w:pPr>
            <w:r>
              <w:t xml:space="preserve">Report</w:t>
            </w:r>
          </w:p>
        </w:tc>
        <w:tc>
          <w:tcPr/>
          <w:p>
            <w:pPr>
              <w:pStyle w:val="Compact"/>
            </w:pPr>
            <w:r>
              <w:t xml:space="preserve">Q2 2026 Total Revenue</w:t>
            </w:r>
          </w:p>
        </w:tc>
        <w:tc>
          <w:tcPr/>
          <w:p>
            <w:pPr>
              <w:pStyle w:val="Compact"/>
            </w:pPr>
            <w:r>
              <w:t xml:space="preserve">BEAT</w:t>
            </w:r>
          </w:p>
        </w:tc>
        <w:tc>
          <w:tcPr/>
          <w:p>
            <w:pPr>
              <w:pStyle w:val="Compact"/>
            </w:pPr>
            <w:r>
              <w:t xml:space="preserve">pred ~$2.87B vs. cons $2.84B</w:t>
            </w:r>
          </w:p>
        </w:tc>
        <w:tc>
          <w:tcPr/>
          <w:p>
            <w:pPr>
              <w:pStyle w:val="Compact"/>
            </w:pPr>
            <w:r>
              <w:t xml:space="preserve">MEDIUM</w:t>
            </w:r>
          </w:p>
        </w:tc>
      </w:tr>
      <w:tr>
        <w:tc>
          <w:tcPr/>
          <w:p>
            <w:pPr>
              <w:pStyle w:val="Compact"/>
            </w:pPr>
            <w:r>
              <w:t xml:space="preserve">BAX</w:t>
            </w:r>
          </w:p>
        </w:tc>
        <w:tc>
          <w:tcPr/>
          <w:p>
            <w:pPr>
              <w:pStyle w:val="Compact"/>
            </w:pPr>
            <w:r>
              <w:t xml:space="preserve">Report</w:t>
            </w:r>
          </w:p>
        </w:tc>
        <w:tc>
          <w:tcPr/>
          <w:p>
            <w:pPr>
              <w:pStyle w:val="Compact"/>
            </w:pPr>
            <w:r>
              <w:t xml:space="preserve">Q2 2026 Adjusted EPS</w:t>
            </w:r>
          </w:p>
        </w:tc>
        <w:tc>
          <w:tcPr/>
          <w:p>
            <w:pPr>
              <w:pStyle w:val="Compact"/>
            </w:pPr>
            <w:r>
              <w:t xml:space="preserve">BEAT</w:t>
            </w:r>
          </w:p>
        </w:tc>
        <w:tc>
          <w:tcPr/>
          <w:p>
            <w:pPr>
              <w:pStyle w:val="Compact"/>
            </w:pPr>
            <w:r>
              <w:t xml:space="preserve">pred ~$0.39 vs. cons $0.36</w:t>
            </w:r>
          </w:p>
        </w:tc>
        <w:tc>
          <w:tcPr/>
          <w:p>
            <w:pPr>
              <w:pStyle w:val="Compact"/>
            </w:pPr>
            <w:r>
              <w:t xml:space="preserve">MEDIUM</w:t>
            </w:r>
          </w:p>
        </w:tc>
      </w:tr>
      <w:tr>
        <w:tc>
          <w:tcPr/>
          <w:p>
            <w:pPr>
              <w:pStyle w:val="Compact"/>
            </w:pPr>
            <w:r>
              <w:t xml:space="preserve">BAX</w:t>
            </w:r>
          </w:p>
        </w:tc>
        <w:tc>
          <w:tcPr/>
          <w:p>
            <w:pPr>
              <w:pStyle w:val="Compact"/>
            </w:pPr>
            <w:r>
              <w:t xml:space="preserve">Report</w:t>
            </w:r>
          </w:p>
        </w:tc>
        <w:tc>
          <w:tcPr/>
          <w:p>
            <w:pPr>
              <w:pStyle w:val="Compact"/>
            </w:pPr>
            <w:r>
              <w:t xml:space="preserve">Q2 2026 Adjusted Operating Margin</w:t>
            </w:r>
          </w:p>
        </w:tc>
        <w:tc>
          <w:tcPr/>
          <w:p>
            <w:pPr>
              <w:pStyle w:val="Compact"/>
            </w:pPr>
            <w:r>
              <w:t xml:space="preserve">IN-LINE</w:t>
            </w:r>
          </w:p>
        </w:tc>
        <w:tc>
          <w:tcPr/>
          <w:p>
            <w:pPr>
              <w:pStyle w:val="Compact"/>
            </w:pPr>
            <w:r>
              <w:t xml:space="preserve">pred ~14.2% vs. cons ~14.3%</w:t>
            </w:r>
          </w:p>
        </w:tc>
        <w:tc>
          <w:tcPr/>
          <w:p>
            <w:pPr>
              <w:pStyle w:val="Compact"/>
            </w:pPr>
            <w:r>
              <w:t xml:space="preserve">LOW</w:t>
            </w:r>
          </w:p>
        </w:tc>
      </w:tr>
      <w:tr>
        <w:tc>
          <w:tcPr/>
          <w:p>
            <w:pPr>
              <w:pStyle w:val="Compact"/>
            </w:pPr>
            <w:r>
              <w:t xml:space="preserve">BAX</w:t>
            </w:r>
          </w:p>
        </w:tc>
        <w:tc>
          <w:tcPr/>
          <w:p>
            <w:pPr>
              <w:pStyle w:val="Compact"/>
            </w:pPr>
            <w:r>
              <w:t xml:space="preserve">Guide</w:t>
            </w:r>
          </w:p>
        </w:tc>
        <w:tc>
          <w:tcPr/>
          <w:p>
            <w:pPr>
              <w:pStyle w:val="Compact"/>
            </w:pPr>
            <w:r>
              <w:t xml:space="preserve">FY2026 Reported Sales Growth</w:t>
            </w:r>
          </w:p>
        </w:tc>
        <w:tc>
          <w:tcPr/>
          <w:p>
            <w:pPr>
              <w:pStyle w:val="Compact"/>
            </w:pPr>
            <w:r>
              <w:t xml:space="preserve">UNCHANGED</w:t>
            </w:r>
          </w:p>
        </w:tc>
        <w:tc>
          <w:tcPr/>
          <w:p>
            <w:pPr>
              <w:pStyle w:val="Compact"/>
            </w:pPr>
            <w:r>
              <w:t xml:space="preserve">guide ~flat-to-1% vs. cons ~0.3% (FY2026)</w:t>
            </w:r>
          </w:p>
        </w:tc>
        <w:tc>
          <w:tcPr/>
          <w:p>
            <w:pPr>
              <w:pStyle w:val="Compact"/>
            </w:pPr>
            <w:r>
              <w:t xml:space="preserve">HIGH</w:t>
            </w:r>
          </w:p>
        </w:tc>
      </w:tr>
      <w:tr>
        <w:tc>
          <w:tcPr/>
          <w:p>
            <w:pPr>
              <w:pStyle w:val="Compact"/>
            </w:pPr>
            <w:r>
              <w:t xml:space="preserve">BAX</w:t>
            </w:r>
          </w:p>
        </w:tc>
        <w:tc>
          <w:tcPr/>
          <w:p>
            <w:pPr>
              <w:pStyle w:val="Compact"/>
            </w:pPr>
            <w:r>
              <w:t xml:space="preserve">Guide</w:t>
            </w:r>
          </w:p>
        </w:tc>
        <w:tc>
          <w:tcPr/>
          <w:p>
            <w:pPr>
              <w:pStyle w:val="Compact"/>
            </w:pPr>
            <w:r>
              <w:t xml:space="preserve">FY2026 Adjusted EPS</w:t>
            </w:r>
          </w:p>
        </w:tc>
        <w:tc>
          <w:tcPr/>
          <w:p>
            <w:pPr>
              <w:pStyle w:val="Compact"/>
            </w:pPr>
            <w:r>
              <w:t xml:space="preserve">BETTER</w:t>
            </w:r>
          </w:p>
        </w:tc>
        <w:tc>
          <w:tcPr/>
          <w:p>
            <w:pPr>
              <w:pStyle w:val="Compact"/>
            </w:pPr>
            <w:r>
              <w:t xml:space="preserve">guide ~</w:t>
            </w:r>
            <m:oMath>
              <m:r>
                <m:t>1.90</m:t>
              </m:r>
              <m:r>
                <m:rPr>
                  <m:sty m:val="p"/>
                </m:rPr>
                <m:t>−</m:t>
              </m:r>
            </m:oMath>
            <w:r>
              <w:t xml:space="preserve">2.05 (~$1.98 midpoint) vs. cons $1.92 (FY2026)</w:t>
            </w:r>
          </w:p>
        </w:tc>
        <w:tc>
          <w:tcPr/>
          <w:p>
            <w:pPr>
              <w:pStyle w:val="Compact"/>
            </w:pPr>
            <w:r>
              <w:t xml:space="preserve">MEDIUM</w:t>
            </w:r>
          </w:p>
        </w:tc>
      </w:tr>
      <w:tr>
        <w:tc>
          <w:tcPr/>
          <w:p>
            <w:pPr>
              <w:pStyle w:val="Compact"/>
            </w:pPr>
            <w:r>
              <w:t xml:space="preserve">BAX</w:t>
            </w:r>
          </w:p>
        </w:tc>
        <w:tc>
          <w:tcPr/>
          <w:p>
            <w:pPr>
              <w:pStyle w:val="Compact"/>
            </w:pPr>
            <w:r>
              <w:t xml:space="preserve">Guide</w:t>
            </w:r>
          </w:p>
        </w:tc>
        <w:tc>
          <w:tcPr/>
          <w:p>
            <w:pPr>
              <w:pStyle w:val="Compact"/>
            </w:pPr>
            <w:r>
              <w:t xml:space="preserve">H1-to-H2 Operating Margin Expansion Bridge</w:t>
            </w:r>
          </w:p>
        </w:tc>
        <w:tc>
          <w:tcPr/>
          <w:p>
            <w:pPr>
              <w:pStyle w:val="Compact"/>
            </w:pPr>
            <w:r>
              <w:t xml:space="preserve">UNCHANGED</w:t>
            </w:r>
          </w:p>
        </w:tc>
        <w:tc>
          <w:tcPr/>
          <w:p>
            <w:pPr>
              <w:pStyle w:val="Compact"/>
            </w:pPr>
            <w:r>
              <w:t xml:space="preserve">guide ~500bps vs. prior guide ~500bps (H2 2026 vs H1 2026)</w:t>
            </w:r>
          </w:p>
        </w:tc>
        <w:tc>
          <w:tcPr/>
          <w:p>
            <w:pPr>
              <w:pStyle w:val="Compact"/>
            </w:pPr>
            <w:r>
              <w:t xml:space="preserve">HIGH</w:t>
            </w:r>
          </w:p>
        </w:tc>
      </w:tr>
      <w:tr>
        <w:tc>
          <w:tcPr/>
          <w:p>
            <w:pPr>
              <w:pStyle w:val="Compact"/>
            </w:pPr>
            <w:r>
              <w:t xml:space="preserve">BAX</w:t>
            </w:r>
          </w:p>
        </w:tc>
        <w:tc>
          <w:tcPr/>
          <w:p>
            <w:pPr>
              <w:pStyle w:val="Compact"/>
            </w:pPr>
            <w:r>
              <w:t xml:space="preserve">Guide</w:t>
            </w:r>
          </w:p>
        </w:tc>
        <w:tc>
          <w:tcPr/>
          <w:p>
            <w:pPr>
              <w:pStyle w:val="Compact"/>
            </w:pPr>
            <w:r>
              <w:t xml:space="preserve">Year-End Net Leverage Target</w:t>
            </w:r>
          </w:p>
        </w:tc>
        <w:tc>
          <w:tcPr/>
          <w:p>
            <w:pPr>
              <w:pStyle w:val="Compact"/>
            </w:pPr>
            <w:r>
              <w:t xml:space="preserve">UNCHANGED</w:t>
            </w:r>
          </w:p>
        </w:tc>
        <w:tc>
          <w:tcPr/>
          <w:p>
            <w:pPr>
              <w:pStyle w:val="Compact"/>
            </w:pPr>
            <w:r>
              <w:t xml:space="preserve">guide ~3.0x vs. prior target 3.0x (YE2026)</w:t>
            </w:r>
          </w:p>
        </w:tc>
        <w:tc>
          <w:tcPr/>
          <w:p>
            <w:pPr>
              <w:pStyle w:val="Compact"/>
            </w:pPr>
            <w:r>
              <w:t xml:space="preserve">HIGH</w:t>
            </w:r>
          </w:p>
        </w:tc>
      </w:tr>
      <w:tr>
        <w:tc>
          <w:tcPr/>
          <w:p>
            <w:pPr>
              <w:pStyle w:val="Compact"/>
            </w:pPr>
            <w:r>
              <w:t xml:space="preserve">BAX</w:t>
            </w:r>
          </w:p>
        </w:tc>
        <w:tc>
          <w:tcPr/>
          <w:p>
            <w:pPr>
              <w:pStyle w:val="Compact"/>
            </w:pPr>
            <w:r>
              <w:t xml:space="preserve">Return</w:t>
            </w:r>
          </w:p>
        </w:tc>
        <w:tc>
          <w:tcPr/>
          <w:p>
            <w:pPr>
              <w:pStyle w:val="Compact"/>
            </w:pPr>
            <w:r>
              <w:t xml:space="preserve">Day-1 residual (stock − beta × S&amp;P 500)</w:t>
            </w:r>
          </w:p>
        </w:tc>
        <w:tc>
          <w:tcPr/>
          <w:p>
            <w:pPr>
              <w:pStyle w:val="Compact"/>
            </w:pPr>
            <w:r>
              <w:t xml:space="preserve">-2.8%</w:t>
            </w:r>
          </w:p>
        </w:tc>
        <w:tc>
          <w:tcPr/>
          <w:p>
            <w:pPr>
              <w:pStyle w:val="Compact"/>
            </w:pPr>
            <w:r>
              <w:t xml:space="preserve">—</w:t>
            </w:r>
          </w:p>
        </w:tc>
        <w:tc>
          <w:tcPr/>
          <w:p>
            <w:pPr>
              <w:pStyle w:val="Compact"/>
            </w:pPr>
            <w:r>
              <w:t xml:space="preserve">MEDIUM</w:t>
            </w:r>
          </w:p>
        </w:tc>
      </w:tr>
      <w:tr>
        <w:tc>
          <w:tcPr/>
          <w:p>
            <w:pPr>
              <w:pStyle w:val="Compact"/>
            </w:pPr>
            <w:r>
              <w:t xml:space="preserve">BAX</w:t>
            </w:r>
          </w:p>
        </w:tc>
        <w:tc>
          <w:tcPr/>
          <w:p>
            <w:pPr>
              <w:pStyle w:val="Compact"/>
            </w:pPr>
            <w:r>
              <w:t xml:space="preserve">Return</w:t>
            </w:r>
          </w:p>
        </w:tc>
        <w:tc>
          <w:tcPr/>
          <w:p>
            <w:pPr>
              <w:pStyle w:val="Compact"/>
            </w:pPr>
            <w:r>
              <w:t xml:space="preserve">5-day cumulative residual</w:t>
            </w:r>
          </w:p>
        </w:tc>
        <w:tc>
          <w:tcPr/>
          <w:p>
            <w:pPr>
              <w:pStyle w:val="Compact"/>
            </w:pPr>
            <w:r>
              <w:t xml:space="preserve">-4.5% (FADE)</w:t>
            </w:r>
          </w:p>
        </w:tc>
        <w:tc>
          <w:tcPr/>
          <w:p>
            <w:pPr>
              <w:pStyle w:val="Compact"/>
            </w:pPr>
            <w:r>
              <w:t xml:space="preserve">BAX enters the print up ~48% since April and trading above the average sell-side price target ($24.70 vs</w:t>
            </w:r>
            <w:r>
              <w:t xml:space="preserve"> </w:t>
            </w:r>
            <m:oMath>
              <m:r>
                <m:t>22.96</m:t>
              </m:r>
              <m:r>
                <m:rPr>
                  <m:sty m:val="p"/>
                </m:rPr>
                <m:t>)</m:t>
              </m:r>
              <m:r>
                <m:rPr>
                  <m:sty m:val="p"/>
                </m:rPr>
                <m:t>,</m:t>
              </m:r>
              <m:r>
                <m:t>s</m:t>
              </m:r>
              <m:r>
                <m:t>o</m:t>
              </m:r>
              <m:r>
                <m:t>e</m:t>
              </m:r>
              <m:r>
                <m:t>v</m:t>
              </m:r>
              <m:r>
                <m:t>e</m:t>
              </m:r>
              <m:r>
                <m:t>n</m:t>
              </m:r>
              <m:r>
                <m:t>a</m:t>
              </m:r>
              <m:r>
                <m:t>m</m:t>
              </m:r>
              <m:r>
                <m:t>o</m:t>
              </m:r>
              <m:r>
                <m:t>d</m:t>
              </m:r>
              <m:r>
                <m:t>e</m:t>
              </m:r>
              <m:r>
                <m:t>s</m:t>
              </m:r>
              <m:r>
                <m:t>t</m:t>
              </m:r>
              <m:r>
                <m:t>h</m:t>
              </m:r>
              <m:r>
                <m:t>e</m:t>
              </m:r>
              <m:r>
                <m:t>a</m:t>
              </m:r>
              <m:r>
                <m:t>d</m:t>
              </m:r>
              <m:r>
                <m:t>l</m:t>
              </m:r>
              <m:r>
                <m:t>i</m:t>
              </m:r>
              <m:r>
                <m:t>n</m:t>
              </m:r>
              <m:r>
                <m:t>e</m:t>
              </m:r>
              <m:r>
                <m:t>b</m:t>
              </m:r>
              <m:r>
                <m:t>e</m:t>
              </m:r>
              <m:r>
                <m:t>a</m:t>
              </m:r>
              <m:r>
                <m:t>t</m:t>
              </m:r>
              <m:r>
                <m:rPr>
                  <m:sty m:val="p"/>
                </m:rPr>
                <m:t>(</m:t>
              </m:r>
              <m:r>
                <m:t>E</m:t>
              </m:r>
              <m:r>
                <m:t>P</m:t>
              </m:r>
              <m:r>
                <m:t>S</m:t>
              </m:r>
              <m:r>
                <m:t> </m:t>
              </m:r>
            </m:oMath>
            <w:r>
              <w:t xml:space="preserve">0.39 vs</w:t>
            </w:r>
            <w:r>
              <w:t xml:space="preserve"> </w:t>
            </w:r>
            <w:r>
              <w:t xml:space="preserve">$0.36) is likely already priced in, while management's own framing that Q2 margin headwinds would be 'more pronounced' before H2 recovery caps upside surprise on the metric investors care about most (operating margin/H2 bridge). The new two-segment reporting structure adds near-term confusion to segment-level comparability, likely delaying sell-side model updates and full-year EPS revisions. With Injectables &amp; Anesthesia supply constrained into 2027 and Novum IQ hold still unresolved, any initial pop from a headline beat/guide reaffirmation is likely to fade over the week as analysts reconcile recast segment margins, temper targets back toward the ~$</w:t>
            </w:r>
            <w:r>
              <w:t xml:space="preserve">23 average, and out-period math (limited 2027 supply recovery, still-pressured leverage path) keeps a lid on follow-through buying.</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2026-07-29T18:18:22Z</dcterms:created>
  <dcterms:modified xsi:type="dcterms:W3CDTF">2026-07-29T18:18:22Z</dcterms:modified>
</cp:coreProperties>
</file>

<file path=docProps/custom.xml><?xml version="1.0" encoding="utf-8"?>
<Properties xmlns="http://schemas.openxmlformats.org/officeDocument/2006/custom-properties" xmlns:vt="http://schemas.openxmlformats.org/officeDocument/2006/docPropsVTypes"/>
</file>