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195b7e2433b48603fbd46ecb6207c2e8ade32e"/>
    <w:p>
      <w:pPr>
        <w:pStyle w:val="Heading1"/>
      </w:pPr>
      <w:r>
        <w:t xml:space="preserve">Baxter International (BAX) — 2026Q2 Earnings Preview</w:t>
      </w:r>
    </w:p>
    <w:p>
      <w:pPr>
        <w:pStyle w:val="FirstParagraph"/>
      </w:pPr>
      <w:r>
        <w:rPr>
          <w:b/>
          <w:bCs/>
        </w:rPr>
        <w:t xml:space="preserve">Report date:</w:t>
      </w:r>
      <w:r>
        <w:t xml:space="preserve"> </w:t>
      </w:r>
      <w:r>
        <w:t xml:space="preserve">July 30, 2026</w:t>
      </w:r>
      <w:r>
        <w:br/>
      </w:r>
      <w:r>
        <w:rPr>
          <w:b/>
          <w:bCs/>
        </w:rPr>
        <w:t xml:space="preserve">Closing share price, July 29:</w:t>
      </w:r>
      <w:r>
        <w:t xml:space="preserve"> </w:t>
      </w:r>
      <w:r>
        <w:t xml:space="preserve">$24.70</w:t>
      </w:r>
      <w:r>
        <w:br/>
      </w:r>
      <w:r>
        <w:rPr>
          <w:b/>
          <w:bCs/>
        </w:rPr>
        <w:t xml:space="preserve">Central issue:</w:t>
      </w:r>
      <w:r>
        <w:t xml:space="preserve"> </w:t>
      </w:r>
      <w:r>
        <w:t xml:space="preserve">Whether Baxter can validate the sharp second-half earnings recovery embedded in its full-year guidance.</w:t>
      </w:r>
    </w:p>
    <w:bookmarkStart w:id="9" w:name="investment-view-going-into-the-report"/>
    <w:p>
      <w:pPr>
        <w:pStyle w:val="Heading2"/>
      </w:pPr>
      <w:r>
        <w:t xml:space="preserve">Investment view going into the report</w:t>
      </w:r>
    </w:p>
    <w:p>
      <w:pPr>
        <w:pStyle w:val="FirstParagraph"/>
      </w:pPr>
      <w:r>
        <w:t xml:space="preserve">Baxter already told investors that the second quarter would remain difficult: adjusted EPS should be</w:t>
      </w:r>
      <w:r>
        <w:t xml:space="preserve"> </w:t>
      </w:r>
      <w:r>
        <w:rPr>
          <w:b/>
          <w:bCs/>
        </w:rPr>
        <w:t xml:space="preserve">similar to Q1’s $0.36</w:t>
      </w:r>
      <w:r>
        <w:t xml:space="preserve">, organic sales should improve sequentially but remain pressured year over year, and manufacturing-cost headwinds should be especially pronounced.</w:t>
      </w:r>
    </w:p>
    <w:p>
      <w:pPr>
        <w:pStyle w:val="BodyText"/>
      </w:pPr>
      <w:r>
        <w:t xml:space="preserve">That makes the reported Q2 number less important than management’s confidence in the second half. Maintaining the midpoint of the 2026 EPS range would require adjusted EPS to rise from roughly</w:t>
      </w:r>
      <w:r>
        <w:t xml:space="preserve"> </w:t>
      </w:r>
      <w:r>
        <w:rPr>
          <w:b/>
          <w:bCs/>
        </w:rPr>
        <w:t xml:space="preserve">$0.36 per quarter in the first half to about $0.62 per quarter in the second half</w:t>
      </w:r>
      <w:r>
        <w:t xml:space="preserve">. Investors therefore need evidence that the anticipated margin inflection is beginning—not another promise that improvement is one quarter away.</w:t>
      </w:r>
    </w:p>
    <w:p>
      <w:pPr>
        <w:pStyle w:val="BodyText"/>
      </w:pPr>
      <w:r>
        <w:t xml:space="preserve">The stock also enters earnings with more optimism priced in. BAX has risen approximately</w:t>
      </w:r>
      <w:r>
        <w:t xml:space="preserve"> </w:t>
      </w:r>
      <w:r>
        <w:rPr>
          <w:b/>
          <w:bCs/>
        </w:rPr>
        <w:t xml:space="preserve">46% since April 29</w:t>
      </w:r>
      <w:r>
        <w:t xml:space="preserve">, the day before its Q1 report, and roughly</w:t>
      </w:r>
      <w:r>
        <w:t xml:space="preserve"> </w:t>
      </w:r>
      <w:r>
        <w:rPr>
          <w:b/>
          <w:bCs/>
        </w:rPr>
        <w:t xml:space="preserve">27% year to date</w:t>
      </w:r>
      <w:r>
        <w:t xml:space="preserve">. At $24.70, it trades at about</w:t>
      </w:r>
      <w:r>
        <w:t xml:space="preserve"> </w:t>
      </w:r>
      <w:r>
        <w:rPr>
          <w:b/>
          <w:bCs/>
        </w:rPr>
        <w:t xml:space="preserve">12.7 times</w:t>
      </w:r>
      <w:r>
        <w:t xml:space="preserve"> </w:t>
      </w:r>
      <w:r>
        <w:t xml:space="preserve">the midpoint of management’s 2026 adjusted EPS guidance. The valuation remains undemanding, but the recent rally raises the bar for guidance quality and execution.</w:t>
      </w:r>
    </w:p>
    <w:p>
      <w:r>
        <w:pict>
          <v:rect style="width:0;height:1.5pt" o:hralign="center" o:hrstd="t" o:hr="t"/>
        </w:pict>
      </w:r>
    </w:p>
    <w:bookmarkEnd w:id="9"/>
    <w:bookmarkStart w:id="10" w:name="the-disclosed-financial-bar"/>
    <w:p>
      <w:pPr>
        <w:pStyle w:val="Heading2"/>
      </w:pPr>
      <w:r>
        <w:t xml:space="preserve">The disclosed financial bar</w:t>
      </w:r>
    </w:p>
    <w:p>
      <w:pPr>
        <w:pStyle w:val="FirstParagraph"/>
      </w:pPr>
      <w:r>
        <w:t xml:space="preserve">Management’s latest 2026 outlook called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2026 outlook</w:t>
            </w:r>
          </w:p>
        </w:tc>
      </w:tr>
      <w:tr>
        <w:tc>
          <w:tcPr/>
          <w:p>
            <w:pPr>
              <w:pStyle w:val="Compact"/>
            </w:pPr>
            <w:r>
              <w:t xml:space="preserve">Reported sales growth</w:t>
            </w:r>
          </w:p>
        </w:tc>
        <w:tc>
          <w:tcPr/>
          <w:p>
            <w:pPr>
              <w:pStyle w:val="Compact"/>
              <w:jc w:val="right"/>
            </w:pPr>
            <w:r>
              <w:t xml:space="preserve">Flat to +1%</w:t>
            </w:r>
          </w:p>
        </w:tc>
      </w:tr>
      <w:tr>
        <w:tc>
          <w:tcPr/>
          <w:p>
            <w:pPr>
              <w:pStyle w:val="Compact"/>
            </w:pPr>
            <w:r>
              <w:t xml:space="preserve">Organic sales growth</w:t>
            </w:r>
          </w:p>
        </w:tc>
        <w:tc>
          <w:tcPr/>
          <w:p>
            <w:pPr>
              <w:pStyle w:val="Compact"/>
              <w:jc w:val="right"/>
            </w:pPr>
            <w:r>
              <w:t xml:space="preserve">Approximately flat</w:t>
            </w:r>
          </w:p>
        </w:tc>
      </w:tr>
      <w:tr>
        <w:tc>
          <w:tcPr/>
          <w:p>
            <w:pPr>
              <w:pStyle w:val="Compact"/>
            </w:pPr>
            <w:r>
              <w:t xml:space="preserve">FX contribution</w:t>
            </w:r>
          </w:p>
        </w:tc>
        <w:tc>
          <w:tcPr/>
          <w:p>
            <w:pPr>
              <w:pStyle w:val="Compact"/>
              <w:jc w:val="right"/>
            </w:pPr>
            <w:r>
              <w:t xml:space="preserve">Approximately +100 bps</w:t>
            </w:r>
          </w:p>
        </w:tc>
      </w:tr>
      <w:tr>
        <w:tc>
          <w:tcPr/>
          <w:p>
            <w:pPr>
              <w:pStyle w:val="Compact"/>
            </w:pPr>
            <w:r>
              <w:t xml:space="preserve">Adjusted operating margin</w:t>
            </w:r>
          </w:p>
        </w:tc>
        <w:tc>
          <w:tcPr/>
          <w:p>
            <w:pPr>
              <w:pStyle w:val="Compact"/>
              <w:jc w:val="right"/>
            </w:pPr>
            <w:r>
              <w:t xml:space="preserve">13%–14%</w:t>
            </w:r>
          </w:p>
        </w:tc>
      </w:tr>
      <w:tr>
        <w:tc>
          <w:tcPr/>
          <w:p>
            <w:pPr>
              <w:pStyle w:val="Compact"/>
            </w:pPr>
            <w:r>
              <w:t xml:space="preserve">Adjusted EPS, continuing operations</w:t>
            </w:r>
          </w:p>
        </w:tc>
        <w:tc>
          <w:tcPr/>
          <w:p>
            <w:pPr>
              <w:pStyle w:val="Compact"/>
              <w:jc w:val="right"/>
            </w:pPr>
            <m:oMath>
              <m:r>
                <m:t>1.85</m:t>
              </m:r>
              <m:r>
                <m:rPr>
                  <m:sty m:val="p"/>
                </m:rPr>
                <m:t>–</m:t>
              </m:r>
            </m:oMath>
            <w:r>
              <w:t xml:space="preserve">2.05</w:t>
            </w:r>
          </w:p>
        </w:tc>
      </w:tr>
      <w:tr>
        <w:tc>
          <w:tcPr/>
          <w:p>
            <w:pPr>
              <w:pStyle w:val="Compact"/>
            </w:pPr>
            <w:r>
              <w:t xml:space="preserve">Net interest and other non-operating expense</w:t>
            </w:r>
          </w:p>
        </w:tc>
        <w:tc>
          <w:tcPr/>
          <w:p>
            <w:pPr>
              <w:pStyle w:val="Compact"/>
              <w:jc w:val="right"/>
            </w:pPr>
            <m:oMath>
              <m:r>
                <m:t>280</m:t>
              </m:r>
              <m:r>
                <m:t>M</m:t>
              </m:r>
              <m:r>
                <m:rPr>
                  <m:sty m:val="p"/>
                </m:rPr>
                <m:t>–</m:t>
              </m:r>
            </m:oMath>
            <w:r>
              <w:t xml:space="preserve">300M</w:t>
            </w:r>
          </w:p>
        </w:tc>
      </w:tr>
      <w:tr>
        <w:tc>
          <w:tcPr/>
          <w:p>
            <w:pPr>
              <w:pStyle w:val="Compact"/>
            </w:pPr>
            <w:r>
              <w:t xml:space="preserve">Adjusted tax rate</w:t>
            </w:r>
          </w:p>
        </w:tc>
        <w:tc>
          <w:tcPr/>
          <w:p>
            <w:pPr>
              <w:pStyle w:val="Compact"/>
              <w:jc w:val="right"/>
            </w:pPr>
            <w:r>
              <w:t xml:space="preserve">18.5%–19.5%</w:t>
            </w:r>
          </w:p>
        </w:tc>
      </w:tr>
      <w:tr>
        <w:tc>
          <w:tcPr/>
          <w:p>
            <w:pPr>
              <w:pStyle w:val="Compact"/>
            </w:pPr>
            <w:r>
              <w:t xml:space="preserve">Diluted shares</w:t>
            </w:r>
          </w:p>
        </w:tc>
        <w:tc>
          <w:tcPr/>
          <w:p>
            <w:pPr>
              <w:pStyle w:val="Compact"/>
              <w:jc w:val="right"/>
            </w:pPr>
            <w:r>
              <w:t xml:space="preserve">Approximately 518M</w:t>
            </w:r>
          </w:p>
        </w:tc>
      </w:tr>
      <w:tr>
        <w:tc>
          <w:tcPr/>
          <w:p>
            <w:pPr>
              <w:pStyle w:val="Compact"/>
            </w:pPr>
            <w:r>
              <w:t xml:space="preserve">Net tariff cost</w:t>
            </w:r>
          </w:p>
        </w:tc>
        <w:tc>
          <w:tcPr/>
          <w:p>
            <w:pPr>
              <w:pStyle w:val="Compact"/>
              <w:jc w:val="right"/>
            </w:pPr>
            <w:r>
              <w:t xml:space="preserve">Approximately $80M</w:t>
            </w:r>
          </w:p>
        </w:tc>
      </w:tr>
      <w:tr>
        <w:tc>
          <w:tcPr/>
          <w:p>
            <w:pPr>
              <w:pStyle w:val="Compact"/>
            </w:pPr>
            <w:r>
              <w:t xml:space="preserve">Year-end net leverage target</w:t>
            </w:r>
          </w:p>
        </w:tc>
        <w:tc>
          <w:tcPr/>
          <w:p>
            <w:pPr>
              <w:pStyle w:val="Compact"/>
              <w:jc w:val="right"/>
            </w:pPr>
            <w:r>
              <w:t xml:space="preserve">Approximately 3x</w:t>
            </w:r>
          </w:p>
        </w:tc>
      </w:tr>
    </w:tbl>
    <w:p>
      <w:pPr>
        <w:pStyle w:val="BodyText"/>
      </w:pPr>
      <w:r>
        <w:t xml:space="preserve">For Q2 specifically, management guided to:</w:t>
      </w:r>
    </w:p>
    <w:p>
      <w:pPr>
        <w:pStyle w:val="Compact"/>
        <w:numPr>
          <w:ilvl w:val="0"/>
          <w:numId w:val="1001"/>
        </w:numPr>
      </w:pPr>
      <w:r>
        <w:rPr>
          <w:b/>
          <w:bCs/>
        </w:rPr>
        <w:t xml:space="preserve">Adjusted EPS similar to Q1’s $0.36</w:t>
      </w:r>
    </w:p>
    <w:p>
      <w:pPr>
        <w:pStyle w:val="Compact"/>
        <w:numPr>
          <w:ilvl w:val="0"/>
          <w:numId w:val="1001"/>
        </w:numPr>
      </w:pPr>
      <w:r>
        <w:t xml:space="preserve">Slight sequential volume improvement</w:t>
      </w:r>
    </w:p>
    <w:p>
      <w:pPr>
        <w:pStyle w:val="Compact"/>
        <w:numPr>
          <w:ilvl w:val="0"/>
          <w:numId w:val="1001"/>
        </w:numPr>
      </w:pPr>
      <w:r>
        <w:t xml:space="preserve">Continued year-over-year organic-sales pressure</w:t>
      </w:r>
    </w:p>
    <w:p>
      <w:pPr>
        <w:pStyle w:val="Compact"/>
        <w:numPr>
          <w:ilvl w:val="0"/>
          <w:numId w:val="1001"/>
        </w:numPr>
      </w:pPr>
      <w:r>
        <w:t xml:space="preserve">Particularly heavy manufacturing and inventory-absorption headwinds</w:t>
      </w:r>
    </w:p>
    <w:p>
      <w:pPr>
        <w:pStyle w:val="Compact"/>
        <w:numPr>
          <w:ilvl w:val="0"/>
          <w:numId w:val="1001"/>
        </w:numPr>
      </w:pPr>
      <w:r>
        <w:t xml:space="preserve">No assumption that the Novum LVP shipment and installation hold is lifted during 2026</w:t>
      </w:r>
    </w:p>
    <w:p>
      <w:pPr>
        <w:pStyle w:val="FirstParagraph"/>
      </w:pPr>
      <w:r>
        <w:t xml:space="preserve">A modest Q2 EPS beat would be welcome, but it would not resolve the central debate unless accompanied by better underlying margins or a more credible second-half outlook.</w:t>
      </w:r>
    </w:p>
    <w:p>
      <w:r>
        <w:pict>
          <v:rect style="width:0;height:1.5pt" o:hralign="center" o:hrstd="t" o:hr="t"/>
        </w:pict>
      </w:r>
    </w:p>
    <w:bookmarkEnd w:id="10"/>
    <w:bookmarkStart w:id="11" w:name="Xe11a985b912b28772f4e47fc365c4a281ea4478"/>
    <w:p>
      <w:pPr>
        <w:pStyle w:val="Heading2"/>
      </w:pPr>
      <w:r>
        <w:t xml:space="preserve">Why the second-half bridge matters so much</w:t>
      </w:r>
    </w:p>
    <w:p>
      <w:pPr>
        <w:pStyle w:val="FirstParagraph"/>
      </w:pPr>
      <w:r>
        <w:t xml:space="preserve">If Q2 adjusted EPS is approximately</w:t>
      </w:r>
      <w:r>
        <w:t xml:space="preserve"> </w:t>
      </w:r>
      <m:oMath>
        <m:r>
          <m:t>0.36</m:t>
        </m:r>
        <m:r>
          <m:rPr>
            <m:sty m:val="p"/>
          </m:rPr>
          <m:t>,</m:t>
        </m:r>
        <m:r>
          <m:t>f</m:t>
        </m:r>
        <m:r>
          <m:t>i</m:t>
        </m:r>
        <m:r>
          <m:t>r</m:t>
        </m:r>
        <m:r>
          <m:t>s</m:t>
        </m:r>
        <m:r>
          <m:t>t</m:t>
        </m:r>
        <m:r>
          <m:rPr>
            <m:sty m:val="p"/>
          </m:rPr>
          <m:t>−</m:t>
        </m:r>
        <m:r>
          <m:t>h</m:t>
        </m:r>
        <m:r>
          <m:t>a</m:t>
        </m:r>
        <m:r>
          <m:t>l</m:t>
        </m:r>
        <m:r>
          <m:t>f</m:t>
        </m:r>
        <m:r>
          <m:t>E</m:t>
        </m:r>
        <m:r>
          <m:t>P</m:t>
        </m:r>
        <m:r>
          <m:t>S</m:t>
        </m:r>
        <m:r>
          <m:t>w</m:t>
        </m:r>
        <m:r>
          <m:t>o</m:t>
        </m:r>
        <m:r>
          <m:t>u</m:t>
        </m:r>
        <m:r>
          <m:t>l</m:t>
        </m:r>
        <m:r>
          <m:t>d</m:t>
        </m:r>
        <m:r>
          <m:t>t</m:t>
        </m:r>
        <m:r>
          <m:t>o</m:t>
        </m:r>
        <m:r>
          <m:t>t</m:t>
        </m:r>
        <m:r>
          <m:t>a</m:t>
        </m:r>
        <m:r>
          <m:t>l</m:t>
        </m:r>
        <m:r>
          <m:t>a</m:t>
        </m:r>
        <m:r>
          <m:t>b</m:t>
        </m:r>
        <m:r>
          <m:t>o</m:t>
        </m:r>
        <m:r>
          <m:t>u</m:t>
        </m:r>
        <m:r>
          <m:t>t</m:t>
        </m:r>
        <m:r>
          <m:rPr>
            <m:sty m:val="p"/>
          </m:rPr>
          <m:t>*</m:t>
        </m:r>
        <m:r>
          <m:rPr>
            <m:sty m:val="p"/>
          </m:rPr>
          <m:t>*</m:t>
        </m:r>
      </m:oMath>
      <w:r>
        <w:t xml:space="preserve">0.72**. Baxter would then need the following in the second half:</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Full-year outcome</w:t>
            </w:r>
          </w:p>
        </w:tc>
        <w:tc>
          <w:tcPr/>
          <w:p>
            <w:pPr>
              <w:pStyle w:val="Compact"/>
              <w:jc w:val="right"/>
            </w:pPr>
            <w:r>
              <w:t xml:space="preserve">Required 2H EPS</w:t>
            </w:r>
          </w:p>
        </w:tc>
        <w:tc>
          <w:tcPr/>
          <w:p>
            <w:pPr>
              <w:pStyle w:val="Compact"/>
              <w:jc w:val="right"/>
            </w:pPr>
            <w:r>
              <w:t xml:space="preserve">Average per quarter</w:t>
            </w:r>
          </w:p>
        </w:tc>
      </w:tr>
      <w:tr>
        <w:tc>
          <w:tcPr/>
          <w:p>
            <w:pPr>
              <w:pStyle w:val="Compact"/>
            </w:pPr>
            <w:r>
              <w:t xml:space="preserve">Low end: $1.85</w:t>
            </w:r>
          </w:p>
        </w:tc>
        <w:tc>
          <w:tcPr/>
          <w:p>
            <w:pPr>
              <w:pStyle w:val="Compact"/>
              <w:jc w:val="right"/>
            </w:pPr>
            <w:r>
              <w:t xml:space="preserve">$1.13</w:t>
            </w:r>
          </w:p>
        </w:tc>
        <w:tc>
          <w:tcPr/>
          <w:p>
            <w:pPr>
              <w:pStyle w:val="Compact"/>
              <w:jc w:val="right"/>
            </w:pPr>
            <w:r>
              <w:t xml:space="preserve">$0.57</w:t>
            </w:r>
          </w:p>
        </w:tc>
      </w:tr>
      <w:tr>
        <w:tc>
          <w:tcPr/>
          <w:p>
            <w:pPr>
              <w:pStyle w:val="Compact"/>
            </w:pPr>
            <w:r>
              <w:t xml:space="preserve">Midpoint: $1.95</w:t>
            </w:r>
          </w:p>
        </w:tc>
        <w:tc>
          <w:tcPr/>
          <w:p>
            <w:pPr>
              <w:pStyle w:val="Compact"/>
              <w:jc w:val="right"/>
            </w:pPr>
            <w:r>
              <w:t xml:space="preserve">$1.23</w:t>
            </w:r>
          </w:p>
        </w:tc>
        <w:tc>
          <w:tcPr/>
          <w:p>
            <w:pPr>
              <w:pStyle w:val="Compact"/>
              <w:jc w:val="right"/>
            </w:pPr>
            <w:r>
              <w:t xml:space="preserve">$0.62</w:t>
            </w:r>
          </w:p>
        </w:tc>
      </w:tr>
      <w:tr>
        <w:tc>
          <w:tcPr/>
          <w:p>
            <w:pPr>
              <w:pStyle w:val="Compact"/>
            </w:pPr>
            <w:r>
              <w:t xml:space="preserve">High end: $2.05</w:t>
            </w:r>
          </w:p>
        </w:tc>
        <w:tc>
          <w:tcPr/>
          <w:p>
            <w:pPr>
              <w:pStyle w:val="Compact"/>
              <w:jc w:val="right"/>
            </w:pPr>
            <w:r>
              <w:t xml:space="preserve">$1.33</w:t>
            </w:r>
          </w:p>
        </w:tc>
        <w:tc>
          <w:tcPr/>
          <w:p>
            <w:pPr>
              <w:pStyle w:val="Compact"/>
              <w:jc w:val="right"/>
            </w:pPr>
            <w:r>
              <w:t xml:space="preserve">$0.67</w:t>
            </w:r>
          </w:p>
        </w:tc>
      </w:tr>
    </w:tbl>
    <w:p>
      <w:pPr>
        <w:pStyle w:val="BodyText"/>
      </w:pPr>
      <w:r>
        <w:t xml:space="preserve">Management previously described an approximately</w:t>
      </w:r>
      <w:r>
        <w:t xml:space="preserve"> </w:t>
      </w:r>
      <w:r>
        <w:rPr>
          <w:b/>
          <w:bCs/>
        </w:rPr>
        <w:t xml:space="preserve">500-basis-point operating-margin improvement from the first half to the second half</w:t>
      </w:r>
      <w:r>
        <w:t xml:space="preserve">, with three principal drivers:</w:t>
      </w:r>
    </w:p>
    <w:p>
      <w:pPr>
        <w:pStyle w:val="Compact"/>
        <w:numPr>
          <w:ilvl w:val="0"/>
          <w:numId w:val="1002"/>
        </w:numPr>
      </w:pPr>
      <w:r>
        <w:rPr>
          <w:b/>
          <w:bCs/>
        </w:rPr>
        <w:t xml:space="preserve">Volume and normal seasonality: approximately 250 bps</w:t>
      </w:r>
    </w:p>
    <w:p>
      <w:pPr>
        <w:pStyle w:val="Compact"/>
        <w:numPr>
          <w:ilvl w:val="0"/>
          <w:numId w:val="1002"/>
        </w:numPr>
      </w:pPr>
      <w:r>
        <w:rPr>
          <w:b/>
          <w:bCs/>
        </w:rPr>
        <w:t xml:space="preserve">Benefits from completed cost actions: approximately 125 bps</w:t>
      </w:r>
    </w:p>
    <w:p>
      <w:pPr>
        <w:pStyle w:val="Compact"/>
        <w:numPr>
          <w:ilvl w:val="0"/>
          <w:numId w:val="1002"/>
        </w:numPr>
      </w:pPr>
      <w:r>
        <w:rPr>
          <w:b/>
          <w:bCs/>
        </w:rPr>
        <w:t xml:space="preserve">Rolling through higher-cost inventory: approximately 125 bps</w:t>
      </w:r>
    </w:p>
    <w:p>
      <w:pPr>
        <w:pStyle w:val="FirstParagraph"/>
      </w:pPr>
      <w:r>
        <w:t xml:space="preserve">The most important questions on the call should therefore be:</w:t>
      </w:r>
    </w:p>
    <w:p>
      <w:pPr>
        <w:pStyle w:val="Compact"/>
        <w:numPr>
          <w:ilvl w:val="0"/>
          <w:numId w:val="1003"/>
        </w:numPr>
      </w:pPr>
      <w:r>
        <w:t xml:space="preserve">Has the higher-cost inventory now been substantially consumed?</w:t>
      </w:r>
    </w:p>
    <w:p>
      <w:pPr>
        <w:pStyle w:val="Compact"/>
        <w:numPr>
          <w:ilvl w:val="0"/>
          <w:numId w:val="1003"/>
        </w:numPr>
      </w:pPr>
      <w:r>
        <w:t xml:space="preserve">Are the restructuring savings showing up at the expected run rate?</w:t>
      </w:r>
    </w:p>
    <w:p>
      <w:pPr>
        <w:pStyle w:val="Compact"/>
        <w:numPr>
          <w:ilvl w:val="0"/>
          <w:numId w:val="1003"/>
        </w:numPr>
      </w:pPr>
      <w:r>
        <w:t xml:space="preserve">Does the order book still support the assumed second-half volume acceleration?</w:t>
      </w:r>
    </w:p>
    <w:p>
      <w:pPr>
        <w:pStyle w:val="Compact"/>
        <w:numPr>
          <w:ilvl w:val="0"/>
          <w:numId w:val="1003"/>
        </w:numPr>
      </w:pPr>
      <w:r>
        <w:t xml:space="preserve">Have tariffs, inflation or product mix created new offsets to the 500-basis-point bridge?</w:t>
      </w:r>
    </w:p>
    <w:p>
      <w:pPr>
        <w:pStyle w:val="FirstParagraph"/>
      </w:pPr>
      <w:r>
        <w:t xml:space="preserve">A reaffirmation without measurable evidence behind these items may not be enough after the stock’s recent run.</w:t>
      </w:r>
    </w:p>
    <w:p>
      <w:r>
        <w:pict>
          <v:rect style="width:0;height:1.5pt" o:hralign="center" o:hrstd="t" o:hr="t"/>
        </w:pict>
      </w:r>
    </w:p>
    <w:bookmarkEnd w:id="11"/>
    <w:bookmarkStart w:id="16" w:name="new-segment-structure-what-to-watch"/>
    <w:p>
      <w:pPr>
        <w:pStyle w:val="Heading2"/>
      </w:pPr>
      <w:r>
        <w:t xml:space="preserve">New segment structure: what to watch</w:t>
      </w:r>
    </w:p>
    <w:p>
      <w:pPr>
        <w:pStyle w:val="FirstParagraph"/>
      </w:pPr>
      <w:r>
        <w:t xml:space="preserve">Beginning with Q2, Baxter will report two segments rather than three. The former Pharmaceuticals segment is now included within</w:t>
      </w:r>
      <w:r>
        <w:t xml:space="preserve"> </w:t>
      </w:r>
      <w:r>
        <w:rPr>
          <w:b/>
          <w:bCs/>
        </w:rPr>
        <w:t xml:space="preserve">Infusion Therapies &amp; Platforms</w:t>
      </w:r>
      <w:r>
        <w:t xml:space="preserve">, part of Medical Products &amp; Therapies.</w:t>
      </w:r>
    </w:p>
    <w:bookmarkStart w:id="14" w:name="X8eeb8590778164f19941fd29879004a65d0e69b"/>
    <w:p>
      <w:pPr>
        <w:pStyle w:val="Heading3"/>
      </w:pPr>
      <w:r>
        <w:t xml:space="preserve">1. Medical Products &amp; Therapies</w:t>
      </w:r>
    </w:p>
    <w:p>
      <w:pPr>
        <w:pStyle w:val="FirstParagraph"/>
      </w:pPr>
      <w:r>
        <w:t xml:space="preserve">The recast segment consists of:</w:t>
      </w:r>
    </w:p>
    <w:p>
      <w:pPr>
        <w:pStyle w:val="Compact"/>
        <w:numPr>
          <w:ilvl w:val="0"/>
          <w:numId w:val="1004"/>
        </w:numPr>
      </w:pPr>
      <w:r>
        <w:rPr>
          <w:b/>
          <w:bCs/>
        </w:rPr>
        <w:t xml:space="preserve">Infusion Therapies &amp; Platforms</w:t>
      </w:r>
    </w:p>
    <w:p>
      <w:pPr>
        <w:pStyle w:val="Compact"/>
        <w:numPr>
          <w:ilvl w:val="1"/>
          <w:numId w:val="1005"/>
        </w:numPr>
      </w:pPr>
      <w:r>
        <w:t xml:space="preserve">IV solutions and administration sets</w:t>
      </w:r>
    </w:p>
    <w:p>
      <w:pPr>
        <w:pStyle w:val="Compact"/>
        <w:numPr>
          <w:ilvl w:val="1"/>
          <w:numId w:val="1005"/>
        </w:numPr>
      </w:pPr>
      <w:r>
        <w:t xml:space="preserve">Infusion pumps</w:t>
      </w:r>
    </w:p>
    <w:p>
      <w:pPr>
        <w:pStyle w:val="Compact"/>
        <w:numPr>
          <w:ilvl w:val="1"/>
          <w:numId w:val="1005"/>
        </w:numPr>
      </w:pPr>
      <w:r>
        <w:t xml:space="preserve">Injectables and anesthesia</w:t>
      </w:r>
    </w:p>
    <w:p>
      <w:pPr>
        <w:pStyle w:val="Compact"/>
        <w:numPr>
          <w:ilvl w:val="1"/>
          <w:numId w:val="1005"/>
        </w:numPr>
      </w:pPr>
      <w:r>
        <w:t xml:space="preserve">Drug compounding</w:t>
      </w:r>
    </w:p>
    <w:p>
      <w:pPr>
        <w:pStyle w:val="Compact"/>
        <w:numPr>
          <w:ilvl w:val="1"/>
          <w:numId w:val="1005"/>
        </w:numPr>
      </w:pPr>
      <w:r>
        <w:t xml:space="preserve">Certain manufacturing and supply revenue</w:t>
      </w:r>
    </w:p>
    <w:p>
      <w:pPr>
        <w:pStyle w:val="Compact"/>
        <w:numPr>
          <w:ilvl w:val="0"/>
          <w:numId w:val="1004"/>
        </w:numPr>
      </w:pPr>
      <w:r>
        <w:rPr>
          <w:b/>
          <w:bCs/>
        </w:rPr>
        <w:t xml:space="preserve">Advanced Surgery</w:t>
      </w:r>
    </w:p>
    <w:p>
      <w:pPr>
        <w:pStyle w:val="Compact"/>
        <w:numPr>
          <w:ilvl w:val="1"/>
          <w:numId w:val="1006"/>
        </w:numPr>
      </w:pPr>
      <w:r>
        <w:t xml:space="preserve">Hemostats, sealants and adhesion-prevention products</w:t>
      </w:r>
    </w:p>
    <w:p>
      <w:pPr>
        <w:pStyle w:val="FirstParagraph"/>
      </w:pPr>
      <w:r>
        <w:t xml:space="preserve">Recast Q1 results were:</w:t>
      </w:r>
    </w:p>
    <w:p>
      <w:pPr>
        <w:pStyle w:val="Compact"/>
        <w:numPr>
          <w:ilvl w:val="0"/>
          <w:numId w:val="1007"/>
        </w:numPr>
      </w:pPr>
      <w:r>
        <w:t xml:space="preserve">Sales:</w:t>
      </w:r>
      <w:r>
        <w:t xml:space="preserve"> </w:t>
      </w:r>
      <w:r>
        <w:rPr>
          <w:b/>
          <w:bCs/>
        </w:rPr>
        <w:t xml:space="preserve">$1.92 billion</w:t>
      </w:r>
    </w:p>
    <w:p>
      <w:pPr>
        <w:pStyle w:val="Compact"/>
        <w:numPr>
          <w:ilvl w:val="0"/>
          <w:numId w:val="1007"/>
        </w:numPr>
      </w:pPr>
      <w:r>
        <w:t xml:space="preserve">Organic growth:</w:t>
      </w:r>
      <w:r>
        <w:t xml:space="preserve"> </w:t>
      </w:r>
      <w:r>
        <w:rPr>
          <w:b/>
          <w:bCs/>
        </w:rPr>
        <w:t xml:space="preserve">-1%</w:t>
      </w:r>
    </w:p>
    <w:p>
      <w:pPr>
        <w:pStyle w:val="Compact"/>
        <w:numPr>
          <w:ilvl w:val="0"/>
          <w:numId w:val="1007"/>
        </w:numPr>
      </w:pPr>
      <w:r>
        <w:t xml:space="preserve">Segment operating income:</w:t>
      </w:r>
      <w:r>
        <w:t xml:space="preserve"> </w:t>
      </w:r>
      <w:r>
        <w:rPr>
          <w:b/>
          <w:bCs/>
        </w:rPr>
        <w:t xml:space="preserve">$350 million</w:t>
      </w:r>
    </w:p>
    <w:p>
      <w:pPr>
        <w:pStyle w:val="Compact"/>
        <w:numPr>
          <w:ilvl w:val="0"/>
          <w:numId w:val="1007"/>
        </w:numPr>
      </w:pPr>
      <w:r>
        <w:t xml:space="preserve">Segment margin: approximately</w:t>
      </w:r>
      <w:r>
        <w:t xml:space="preserve"> </w:t>
      </w:r>
      <w:r>
        <w:rPr>
          <w:b/>
          <w:bCs/>
        </w:rPr>
        <w:t xml:space="preserve">18.2%</w:t>
      </w:r>
      <w:r>
        <w:t xml:space="preserve">, versus about 21.7% a year earlier</w:t>
      </w:r>
    </w:p>
    <w:p>
      <w:pPr>
        <w:pStyle w:val="FirstParagraph"/>
      </w:pPr>
      <w:r>
        <w:t xml:space="preserve">The comparable Q2 2025 sales base is</w:t>
      </w:r>
      <w:r>
        <w:t xml:space="preserve"> </w:t>
      </w:r>
      <w:r>
        <w:rPr>
          <w:b/>
          <w:bCs/>
        </w:rPr>
        <w:t xml:space="preserve">$1.95 billion</w:t>
      </w:r>
      <w:r>
        <w:t xml:space="preserve">.</w:t>
      </w:r>
    </w:p>
    <w:bookmarkStart w:id="12" w:name="infusion-therapies--platforms"/>
    <w:p>
      <w:pPr>
        <w:pStyle w:val="Heading4"/>
      </w:pPr>
      <w:r>
        <w:t xml:space="preserve">Infusion Therapies &amp; Platforms</w:t>
      </w:r>
    </w:p>
    <w:p>
      <w:pPr>
        <w:pStyle w:val="FirstParagraph"/>
      </w:pPr>
      <w:r>
        <w:t xml:space="preserve">This remains the largest source of execution risk. Q1 organic sales declined 3%, reflecting several separate pressures:</w:t>
      </w:r>
    </w:p>
    <w:p>
      <w:pPr>
        <w:pStyle w:val="Compact"/>
        <w:numPr>
          <w:ilvl w:val="0"/>
          <w:numId w:val="1008"/>
        </w:numPr>
      </w:pPr>
      <w:r>
        <w:t xml:space="preserve">The Novum LVP shipment and installation hold</w:t>
      </w:r>
    </w:p>
    <w:p>
      <w:pPr>
        <w:pStyle w:val="Compact"/>
        <w:numPr>
          <w:ilvl w:val="0"/>
          <w:numId w:val="1008"/>
        </w:numPr>
      </w:pPr>
      <w:r>
        <w:t xml:space="preserve">A difficult IV-solutions comparison following the Hurricane Helene distributor build</w:t>
      </w:r>
    </w:p>
    <w:p>
      <w:pPr>
        <w:pStyle w:val="Compact"/>
        <w:numPr>
          <w:ilvl w:val="0"/>
          <w:numId w:val="1008"/>
        </w:numPr>
      </w:pPr>
      <w:r>
        <w:t xml:space="preserve">Supply constraints and unfavorable mix in injectables</w:t>
      </w:r>
    </w:p>
    <w:p>
      <w:pPr>
        <w:pStyle w:val="Compact"/>
        <w:numPr>
          <w:ilvl w:val="0"/>
          <w:numId w:val="1008"/>
        </w:numPr>
      </w:pPr>
      <w:r>
        <w:t xml:space="preserve">Lower global demand for inhaled anesthesia</w:t>
      </w:r>
    </w:p>
    <w:p>
      <w:pPr>
        <w:pStyle w:val="Compact"/>
        <w:numPr>
          <w:ilvl w:val="0"/>
          <w:numId w:val="1008"/>
        </w:numPr>
      </w:pPr>
      <w:r>
        <w:t xml:space="preserve">Manufacturing under-absorption</w:t>
      </w:r>
    </w:p>
    <w:p>
      <w:pPr>
        <w:pStyle w:val="FirstParagraph"/>
      </w:pPr>
      <w:r>
        <w:t xml:space="preserve">The IV-solutions comparison should become easier after Q2, and Baxter said pump revenue should grow in the second half as Spectrum offsets some Novum weakness. Investors should nevertheless focus on whether customers are remaining within Baxter’s broader pump-and-consumables ecosystem.</w:t>
      </w:r>
    </w:p>
    <w:p>
      <w:pPr>
        <w:pStyle w:val="BodyText"/>
      </w:pPr>
      <w:r>
        <w:t xml:space="preserve">A useful result would include sequential improvement in Infusion Therapies &amp; Platforms, no material Novum returns and evidence that injectables back orders are normalizing. Continued weakness in higher-margin injectable products would make the second-half margin ramp more difficult.</w:t>
      </w:r>
    </w:p>
    <w:bookmarkEnd w:id="12"/>
    <w:bookmarkStart w:id="13" w:name="advanced-surgery"/>
    <w:p>
      <w:pPr>
        <w:pStyle w:val="Heading4"/>
      </w:pPr>
      <w:r>
        <w:t xml:space="preserve">Advanced Surgery</w:t>
      </w:r>
    </w:p>
    <w:p>
      <w:pPr>
        <w:pStyle w:val="FirstParagraph"/>
      </w:pPr>
      <w:r>
        <w:t xml:space="preserve">Advanced Surgery is Baxter’s clearest current growth asset. Organic sales grew</w:t>
      </w:r>
      <w:r>
        <w:t xml:space="preserve"> </w:t>
      </w:r>
      <w:r>
        <w:rPr>
          <w:b/>
          <w:bCs/>
        </w:rPr>
        <w:t xml:space="preserve">10% in Q1</w:t>
      </w:r>
      <w:r>
        <w:t xml:space="preserve">, supported by strong demand for hemostats and sealants and steady surgical volumes.</w:t>
      </w:r>
    </w:p>
    <w:p>
      <w:pPr>
        <w:pStyle w:val="BodyText"/>
      </w:pPr>
      <w:r>
        <w:t xml:space="preserve">The Q2 2025 sales base is $296 million, after 5% operational growth last year. Investors should look for another high-single-digit or better performance. Material deceleration here would remove one of the few dependable offsets to weakness elsewhere in the portfolio.</w:t>
      </w:r>
    </w:p>
    <w:bookmarkEnd w:id="13"/>
    <w:bookmarkEnd w:id="14"/>
    <w:bookmarkStart w:id="15" w:name="X8e058aab169835e52331b1d3cc056c617701f82"/>
    <w:p>
      <w:pPr>
        <w:pStyle w:val="Heading3"/>
      </w:pPr>
      <w:r>
        <w:t xml:space="preserve">2. Healthcare Systems &amp; Technologies</w:t>
      </w:r>
    </w:p>
    <w:p>
      <w:pPr>
        <w:pStyle w:val="FirstParagraph"/>
      </w:pPr>
      <w:r>
        <w:t xml:space="preserve">HST includes:</w:t>
      </w:r>
    </w:p>
    <w:p>
      <w:pPr>
        <w:pStyle w:val="Compact"/>
        <w:numPr>
          <w:ilvl w:val="0"/>
          <w:numId w:val="1009"/>
        </w:numPr>
      </w:pPr>
      <w:r>
        <w:t xml:space="preserve">Care &amp; Connectivity Solutions</w:t>
      </w:r>
    </w:p>
    <w:p>
      <w:pPr>
        <w:pStyle w:val="Compact"/>
        <w:numPr>
          <w:ilvl w:val="0"/>
          <w:numId w:val="1009"/>
        </w:numPr>
      </w:pPr>
      <w:r>
        <w:t xml:space="preserve">Front Line Care</w:t>
      </w:r>
    </w:p>
    <w:p>
      <w:pPr>
        <w:pStyle w:val="FirstParagraph"/>
      </w:pPr>
      <w:r>
        <w:t xml:space="preserve">Recast Q1 results were:</w:t>
      </w:r>
    </w:p>
    <w:p>
      <w:pPr>
        <w:pStyle w:val="Compact"/>
        <w:numPr>
          <w:ilvl w:val="0"/>
          <w:numId w:val="1010"/>
        </w:numPr>
      </w:pPr>
      <w:r>
        <w:t xml:space="preserve">Sales:</w:t>
      </w:r>
      <w:r>
        <w:t xml:space="preserve"> </w:t>
      </w:r>
      <w:r>
        <w:rPr>
          <w:b/>
          <w:bCs/>
        </w:rPr>
        <w:t xml:space="preserve">$705 million</w:t>
      </w:r>
    </w:p>
    <w:p>
      <w:pPr>
        <w:pStyle w:val="Compact"/>
        <w:numPr>
          <w:ilvl w:val="0"/>
          <w:numId w:val="1010"/>
        </w:numPr>
      </w:pPr>
      <w:r>
        <w:t xml:space="preserve">Organic growth:</w:t>
      </w:r>
      <w:r>
        <w:t xml:space="preserve"> </w:t>
      </w:r>
      <w:r>
        <w:rPr>
          <w:b/>
          <w:bCs/>
        </w:rPr>
        <w:t xml:space="preserve">-2%</w:t>
      </w:r>
    </w:p>
    <w:p>
      <w:pPr>
        <w:pStyle w:val="Compact"/>
        <w:numPr>
          <w:ilvl w:val="0"/>
          <w:numId w:val="1010"/>
        </w:numPr>
      </w:pPr>
      <w:r>
        <w:t xml:space="preserve">Segment operating income:</w:t>
      </w:r>
      <w:r>
        <w:t xml:space="preserve"> </w:t>
      </w:r>
      <w:r>
        <w:rPr>
          <w:b/>
          <w:bCs/>
        </w:rPr>
        <w:t xml:space="preserve">$99 million</w:t>
      </w:r>
    </w:p>
    <w:p>
      <w:pPr>
        <w:pStyle w:val="Compact"/>
        <w:numPr>
          <w:ilvl w:val="0"/>
          <w:numId w:val="1010"/>
        </w:numPr>
      </w:pPr>
      <w:r>
        <w:t xml:space="preserve">Segment margin: approximately</w:t>
      </w:r>
      <w:r>
        <w:t xml:space="preserve"> </w:t>
      </w:r>
      <w:r>
        <w:rPr>
          <w:b/>
          <w:bCs/>
        </w:rPr>
        <w:t xml:space="preserve">14.0%</w:t>
      </w:r>
      <w:r>
        <w:t xml:space="preserve">, versus about 17.3% a year earlier</w:t>
      </w:r>
    </w:p>
    <w:p>
      <w:pPr>
        <w:pStyle w:val="FirstParagraph"/>
      </w:pPr>
      <w:r>
        <w:t xml:space="preserve">The comparable Q2 2025 sales base is</w:t>
      </w:r>
      <w:r>
        <w:t xml:space="preserve"> </w:t>
      </w:r>
      <w:r>
        <w:rPr>
          <w:b/>
          <w:bCs/>
        </w:rPr>
        <w:t xml:space="preserve">$767 million</w:t>
      </w:r>
      <w:r>
        <w:t xml:space="preserve">.</w:t>
      </w:r>
    </w:p>
    <w:p>
      <w:pPr>
        <w:pStyle w:val="BodyText"/>
      </w:pPr>
      <w:r>
        <w:t xml:space="preserve">Management expects HST’s growth to be weighted toward the second half, supported by its U.S. capital-equipment order book and product launches including</w:t>
      </w:r>
      <w:r>
        <w:t xml:space="preserve"> </w:t>
      </w:r>
      <w:r>
        <w:rPr>
          <w:b/>
          <w:bCs/>
        </w:rPr>
        <w:t xml:space="preserve">Dynamo</w:t>
      </w:r>
      <w:r>
        <w:t xml:space="preserve"> </w:t>
      </w:r>
      <w:r>
        <w:t xml:space="preserve">and</w:t>
      </w:r>
      <w:r>
        <w:t xml:space="preserve"> </w:t>
      </w:r>
      <w:r>
        <w:rPr>
          <w:b/>
          <w:bCs/>
        </w:rPr>
        <w:t xml:space="preserve">Connex 360</w:t>
      </w:r>
      <w:r>
        <w:t xml:space="preserve">.</w:t>
      </w:r>
    </w:p>
    <w:p>
      <w:pPr>
        <w:pStyle w:val="BodyText"/>
      </w:pPr>
      <w:r>
        <w:t xml:space="preserve">The key distinction is between orders and recognized revenue. Baxter has cited healthy hospital capital spending and a strong order book, but Care Communications installation timing and government-order timing in Front Line Care have delayed revenue. Investors should look for:</w:t>
      </w:r>
    </w:p>
    <w:p>
      <w:pPr>
        <w:pStyle w:val="Compact"/>
        <w:numPr>
          <w:ilvl w:val="0"/>
          <w:numId w:val="1011"/>
        </w:numPr>
      </w:pPr>
      <w:r>
        <w:t xml:space="preserve">Continued strength in Patient Support Systems orders</w:t>
      </w:r>
    </w:p>
    <w:p>
      <w:pPr>
        <w:pStyle w:val="Compact"/>
        <w:numPr>
          <w:ilvl w:val="0"/>
          <w:numId w:val="1011"/>
        </w:numPr>
      </w:pPr>
      <w:r>
        <w:t xml:space="preserve">Better conversion of the order book into revenue</w:t>
      </w:r>
    </w:p>
    <w:p>
      <w:pPr>
        <w:pStyle w:val="Compact"/>
        <w:numPr>
          <w:ilvl w:val="0"/>
          <w:numId w:val="1011"/>
        </w:numPr>
      </w:pPr>
      <w:r>
        <w:t xml:space="preserve">Normalization in Front Line Care</w:t>
      </w:r>
    </w:p>
    <w:p>
      <w:pPr>
        <w:pStyle w:val="Compact"/>
        <w:numPr>
          <w:ilvl w:val="0"/>
          <w:numId w:val="1011"/>
        </w:numPr>
      </w:pPr>
      <w:r>
        <w:t xml:space="preserve">Evidence that hospital budget uncertainty has not caused delays or cancellations</w:t>
      </w:r>
    </w:p>
    <w:p>
      <w:pPr>
        <w:pStyle w:val="FirstParagraph"/>
      </w:pPr>
      <w:r>
        <w:t xml:space="preserve">HST’s margin trajectory also deserves scrutiny. Another quarter near Q1’s depressed margin would increase the amount of improvement required in the final six months.</w:t>
      </w:r>
    </w:p>
    <w:p>
      <w:r>
        <w:pict>
          <v:rect style="width:0;height:1.5pt" o:hralign="center" o:hrstd="t" o:hr="t"/>
        </w:pict>
      </w:r>
    </w:p>
    <w:bookmarkEnd w:id="15"/>
    <w:bookmarkEnd w:id="16"/>
    <w:bookmarkStart w:id="17" w:name="Xbbd824df471f176a4cda8fe6b6d26c7bb6d1371"/>
    <w:p>
      <w:pPr>
        <w:pStyle w:val="Heading2"/>
      </w:pPr>
      <w:r>
        <w:t xml:space="preserve">Novum LVP: limited revenue exposure, potentially larger strategic importance</w:t>
      </w:r>
    </w:p>
    <w:p>
      <w:pPr>
        <w:pStyle w:val="FirstParagraph"/>
      </w:pPr>
      <w:r>
        <w:t xml:space="preserve">Baxter continues to assume that the Novum LVP shipment and installation hold remains in place for all of 2026. The company is finalizing hardware and software corrections and may need additional regulatory submissions.</w:t>
      </w:r>
    </w:p>
    <w:p>
      <w:pPr>
        <w:pStyle w:val="BodyText"/>
      </w:pPr>
      <w:r>
        <w:t xml:space="preserve">Management has said:</w:t>
      </w:r>
    </w:p>
    <w:p>
      <w:pPr>
        <w:pStyle w:val="Compact"/>
        <w:numPr>
          <w:ilvl w:val="0"/>
          <w:numId w:val="1012"/>
        </w:numPr>
      </w:pPr>
      <w:r>
        <w:t xml:space="preserve">The total pump portfolio, including Novum and Spectrum, is less than 2% of Baxter sales.</w:t>
      </w:r>
    </w:p>
    <w:p>
      <w:pPr>
        <w:pStyle w:val="Compact"/>
        <w:numPr>
          <w:ilvl w:val="0"/>
          <w:numId w:val="1012"/>
        </w:numPr>
      </w:pPr>
      <w:r>
        <w:t xml:space="preserve">Novum customer returns and exchanges were not material in Q1.</w:t>
      </w:r>
    </w:p>
    <w:p>
      <w:pPr>
        <w:pStyle w:val="Compact"/>
        <w:numPr>
          <w:ilvl w:val="0"/>
          <w:numId w:val="1012"/>
        </w:numPr>
      </w:pPr>
      <w:r>
        <w:t xml:space="preserve">Guidance still includes a prudent allowance for possible customer responses.</w:t>
      </w:r>
    </w:p>
    <w:p>
      <w:pPr>
        <w:pStyle w:val="Compact"/>
        <w:numPr>
          <w:ilvl w:val="0"/>
          <w:numId w:val="1012"/>
        </w:numPr>
      </w:pPr>
      <w:r>
        <w:t xml:space="preserve">Spectrum IQ remains available as an alternative.</w:t>
      </w:r>
    </w:p>
    <w:p>
      <w:pPr>
        <w:pStyle w:val="FirstParagraph"/>
      </w:pPr>
      <w:r>
        <w:t xml:space="preserve">The immediate P&amp;L exposure is therefore relatively contained. The more important issues are customer retention, future consumables revenue and Baxter’s credibility in infusion systems.</w:t>
      </w:r>
    </w:p>
    <w:p>
      <w:pPr>
        <w:pStyle w:val="BodyText"/>
      </w:pPr>
      <w:r>
        <w:t xml:space="preserve">Investors should listen for:</w:t>
      </w:r>
    </w:p>
    <w:p>
      <w:pPr>
        <w:pStyle w:val="Compact"/>
        <w:numPr>
          <w:ilvl w:val="0"/>
          <w:numId w:val="1013"/>
        </w:numPr>
      </w:pPr>
      <w:r>
        <w:t xml:space="preserve">Whether returns or exchanges remained immaterial in Q2</w:t>
      </w:r>
    </w:p>
    <w:p>
      <w:pPr>
        <w:pStyle w:val="Compact"/>
        <w:numPr>
          <w:ilvl w:val="0"/>
          <w:numId w:val="1013"/>
        </w:numPr>
      </w:pPr>
      <w:r>
        <w:t xml:space="preserve">Whether Baxter has finalized the technical corrections</w:t>
      </w:r>
    </w:p>
    <w:p>
      <w:pPr>
        <w:pStyle w:val="Compact"/>
        <w:numPr>
          <w:ilvl w:val="0"/>
          <w:numId w:val="1013"/>
        </w:numPr>
      </w:pPr>
      <w:r>
        <w:t xml:space="preserve">Whether a regulatory submission is required</w:t>
      </w:r>
    </w:p>
    <w:p>
      <w:pPr>
        <w:pStyle w:val="Compact"/>
        <w:numPr>
          <w:ilvl w:val="0"/>
          <w:numId w:val="1013"/>
        </w:numPr>
      </w:pPr>
      <w:r>
        <w:t xml:space="preserve">Whether customers are moving to Spectrum or leaving Baxter entirely</w:t>
      </w:r>
    </w:p>
    <w:p>
      <w:pPr>
        <w:pStyle w:val="Compact"/>
        <w:numPr>
          <w:ilvl w:val="0"/>
          <w:numId w:val="1013"/>
        </w:numPr>
      </w:pPr>
      <w:r>
        <w:t xml:space="preserve">Any change in remediation costs or reserves</w:t>
      </w:r>
    </w:p>
    <w:p>
      <w:pPr>
        <w:pStyle w:val="FirstParagraph"/>
      </w:pPr>
      <w:r>
        <w:t xml:space="preserve">A concrete regulatory timeline would be positive, although current guidance does not require a 2026 relaunch.</w:t>
      </w:r>
    </w:p>
    <w:p>
      <w:r>
        <w:pict>
          <v:rect style="width:0;height:1.5pt" o:hralign="center" o:hrstd="t" o:hr="t"/>
        </w:pict>
      </w:r>
    </w:p>
    <w:bookmarkEnd w:id="17"/>
    <w:bookmarkStart w:id="18" w:name="cash-flow-and-balance-sheet"/>
    <w:p>
      <w:pPr>
        <w:pStyle w:val="Heading2"/>
      </w:pPr>
      <w:r>
        <w:t xml:space="preserve">Cash flow and balance sheet</w:t>
      </w:r>
    </w:p>
    <w:p>
      <w:pPr>
        <w:pStyle w:val="FirstParagraph"/>
      </w:pPr>
      <w:r>
        <w:t xml:space="preserve">Baxter made encouraging progress in Q1:</w:t>
      </w:r>
    </w:p>
    <w:p>
      <w:pPr>
        <w:pStyle w:val="Compact"/>
        <w:numPr>
          <w:ilvl w:val="0"/>
          <w:numId w:val="1014"/>
        </w:numPr>
      </w:pPr>
      <w:r>
        <w:t xml:space="preserve">Operating cash flow from continuing operations:</w:t>
      </w:r>
      <w:r>
        <w:t xml:space="preserve"> </w:t>
      </w:r>
      <w:r>
        <w:rPr>
          <w:b/>
          <w:bCs/>
        </w:rPr>
        <w:t xml:space="preserve">$213 million</w:t>
      </w:r>
    </w:p>
    <w:p>
      <w:pPr>
        <w:pStyle w:val="Compact"/>
        <w:numPr>
          <w:ilvl w:val="0"/>
          <w:numId w:val="1014"/>
        </w:numPr>
      </w:pPr>
      <w:r>
        <w:t xml:space="preserve">Capital expenditures:</w:t>
      </w:r>
      <w:r>
        <w:t xml:space="preserve"> </w:t>
      </w:r>
      <w:r>
        <w:rPr>
          <w:b/>
          <w:bCs/>
        </w:rPr>
        <w:t xml:space="preserve">$137 million</w:t>
      </w:r>
    </w:p>
    <w:p>
      <w:pPr>
        <w:pStyle w:val="Compact"/>
        <w:numPr>
          <w:ilvl w:val="0"/>
          <w:numId w:val="1014"/>
        </w:numPr>
      </w:pPr>
      <w:r>
        <w:t xml:space="preserve">Free cash flow:</w:t>
      </w:r>
      <w:r>
        <w:t xml:space="preserve"> </w:t>
      </w:r>
      <w:r>
        <w:rPr>
          <w:b/>
          <w:bCs/>
        </w:rPr>
        <w:t xml:space="preserve">$76 million</w:t>
      </w:r>
      <w:r>
        <w:t xml:space="preserve">, versus negative $221 million a year earlier</w:t>
      </w:r>
    </w:p>
    <w:p>
      <w:pPr>
        <w:pStyle w:val="Compact"/>
        <w:numPr>
          <w:ilvl w:val="0"/>
          <w:numId w:val="1014"/>
        </w:numPr>
      </w:pPr>
      <w:r>
        <w:t xml:space="preserve">Cash at March 31:</w:t>
      </w:r>
      <w:r>
        <w:t xml:space="preserve"> </w:t>
      </w:r>
      <w:r>
        <w:rPr>
          <w:b/>
          <w:bCs/>
        </w:rPr>
        <w:t xml:space="preserve">$2.02 billion</w:t>
      </w:r>
    </w:p>
    <w:p>
      <w:pPr>
        <w:pStyle w:val="Compact"/>
        <w:numPr>
          <w:ilvl w:val="0"/>
          <w:numId w:val="1014"/>
        </w:numPr>
      </w:pPr>
      <w:r>
        <w:t xml:space="preserve">Total debt and finance-lease obligations: approximately</w:t>
      </w:r>
      <w:r>
        <w:t xml:space="preserve"> </w:t>
      </w:r>
      <w:r>
        <w:rPr>
          <w:b/>
          <w:bCs/>
        </w:rPr>
        <w:t xml:space="preserve">$9.46 billion</w:t>
      </w:r>
    </w:p>
    <w:p>
      <w:pPr>
        <w:pStyle w:val="Compact"/>
        <w:numPr>
          <w:ilvl w:val="0"/>
          <w:numId w:val="1014"/>
        </w:numPr>
      </w:pPr>
      <w:r>
        <w:t xml:space="preserve">Net debt: approximately</w:t>
      </w:r>
      <w:r>
        <w:t xml:space="preserve"> </w:t>
      </w:r>
      <w:r>
        <w:rPr>
          <w:b/>
          <w:bCs/>
        </w:rPr>
        <w:t xml:space="preserve">$7.45 billion</w:t>
      </w:r>
    </w:p>
    <w:p>
      <w:pPr>
        <w:pStyle w:val="FirstParagraph"/>
      </w:pPr>
      <w:r>
        <w:t xml:space="preserve">The improvement reflected better receivables collection and extended supplier payment terms. That is helpful, although some of the working-capital benefit may represent timing rather than a durable increase in earnings power.</w:t>
      </w:r>
    </w:p>
    <w:p>
      <w:pPr>
        <w:pStyle w:val="BodyText"/>
      </w:pPr>
      <w:r>
        <w:t xml:space="preserve">Management continues to target approximately 3x net leverage by year-end, while the credit-rating outlooks from both S&amp;P and Moody’s were moved to negative during Q1. With free cash flow expected to be back-half weighted, investors should examine:</w:t>
      </w:r>
    </w:p>
    <w:p>
      <w:pPr>
        <w:pStyle w:val="Compact"/>
        <w:numPr>
          <w:ilvl w:val="0"/>
          <w:numId w:val="1015"/>
        </w:numPr>
      </w:pPr>
      <w:r>
        <w:t xml:space="preserve">Whether Q2 free cash flow remained positive</w:t>
      </w:r>
    </w:p>
    <w:p>
      <w:pPr>
        <w:pStyle w:val="Compact"/>
        <w:numPr>
          <w:ilvl w:val="0"/>
          <w:numId w:val="1015"/>
        </w:numPr>
      </w:pPr>
      <w:r>
        <w:t xml:space="preserve">Inventory levels, particularly higher-cost inventory</w:t>
      </w:r>
    </w:p>
    <w:p>
      <w:pPr>
        <w:pStyle w:val="Compact"/>
        <w:numPr>
          <w:ilvl w:val="0"/>
          <w:numId w:val="1015"/>
        </w:numPr>
      </w:pPr>
      <w:r>
        <w:t xml:space="preserve">Accounts payable and whether Q1’s benefit reverses</w:t>
      </w:r>
    </w:p>
    <w:p>
      <w:pPr>
        <w:pStyle w:val="Compact"/>
        <w:numPr>
          <w:ilvl w:val="0"/>
          <w:numId w:val="1015"/>
        </w:numPr>
      </w:pPr>
      <w:r>
        <w:t xml:space="preserve">Debt repayment completed or planned for the second half</w:t>
      </w:r>
    </w:p>
    <w:p>
      <w:pPr>
        <w:pStyle w:val="Compact"/>
        <w:numPr>
          <w:ilvl w:val="0"/>
          <w:numId w:val="1015"/>
        </w:numPr>
      </w:pPr>
      <w:r>
        <w:t xml:space="preserve">Continued confidence in the 3x leverage target</w:t>
      </w:r>
    </w:p>
    <w:p>
      <w:pPr>
        <w:pStyle w:val="FirstParagraph"/>
      </w:pPr>
      <w:r>
        <w:t xml:space="preserve">A weak cash result would be concerning even if adjusted EPS meets expectations.</w:t>
      </w:r>
    </w:p>
    <w:p>
      <w:r>
        <w:pict>
          <v:rect style="width:0;height:1.5pt" o:hralign="center" o:hrstd="t" o:hr="t"/>
        </w:pict>
      </w:r>
    </w:p>
    <w:bookmarkEnd w:id="18"/>
    <w:bookmarkStart w:id="23" w:name="additional-call-topics"/>
    <w:p>
      <w:pPr>
        <w:pStyle w:val="Heading2"/>
      </w:pPr>
      <w:r>
        <w:t xml:space="preserve">Additional call topics</w:t>
      </w:r>
    </w:p>
    <w:bookmarkStart w:id="19" w:name="tariffs-and-inflation"/>
    <w:p>
      <w:pPr>
        <w:pStyle w:val="Heading3"/>
      </w:pPr>
      <w:r>
        <w:t xml:space="preserve">Tariffs and inflation</w:t>
      </w:r>
    </w:p>
    <w:p>
      <w:pPr>
        <w:pStyle w:val="FirstParagraph"/>
      </w:pPr>
      <w:r>
        <w:t xml:space="preserve">Baxter’s guidance includes approximately</w:t>
      </w:r>
      <w:r>
        <w:t xml:space="preserve"> </w:t>
      </w:r>
      <w:r>
        <w:rPr>
          <w:b/>
          <w:bCs/>
        </w:rPr>
        <w:t xml:space="preserve">$80 million of net tariff costs</w:t>
      </w:r>
      <w:r>
        <w:t xml:space="preserve">, a roughly $40 million incremental year-over-year headwind. Management previously said current oil prices could be managed without a material additional 2026 impact.</w:t>
      </w:r>
    </w:p>
    <w:p>
      <w:pPr>
        <w:pStyle w:val="BodyText"/>
      </w:pPr>
      <w:r>
        <w:t xml:space="preserve">Investors should look for any change in:</w:t>
      </w:r>
    </w:p>
    <w:p>
      <w:pPr>
        <w:pStyle w:val="Compact"/>
        <w:numPr>
          <w:ilvl w:val="0"/>
          <w:numId w:val="1016"/>
        </w:numPr>
      </w:pPr>
      <w:r>
        <w:t xml:space="preserve">The $80 million estimate</w:t>
      </w:r>
    </w:p>
    <w:p>
      <w:pPr>
        <w:pStyle w:val="Compact"/>
        <w:numPr>
          <w:ilvl w:val="0"/>
          <w:numId w:val="1016"/>
        </w:numPr>
      </w:pPr>
      <w:r>
        <w:t xml:space="preserve">Potential tariff refunds</w:t>
      </w:r>
    </w:p>
    <w:p>
      <w:pPr>
        <w:pStyle w:val="Compact"/>
        <w:numPr>
          <w:ilvl w:val="0"/>
          <w:numId w:val="1016"/>
        </w:numPr>
      </w:pPr>
      <w:r>
        <w:t xml:space="preserve">Freight, resin, labor or semiconductor costs</w:t>
      </w:r>
    </w:p>
    <w:p>
      <w:pPr>
        <w:pStyle w:val="Compact"/>
        <w:numPr>
          <w:ilvl w:val="0"/>
          <w:numId w:val="1016"/>
        </w:numPr>
      </w:pPr>
      <w:r>
        <w:t xml:space="preserve">The timing and effectiveness of pricing or sourcing countermeasures</w:t>
      </w:r>
    </w:p>
    <w:bookmarkEnd w:id="19"/>
    <w:bookmarkStart w:id="20" w:name="injectables-supply"/>
    <w:p>
      <w:pPr>
        <w:pStyle w:val="Heading3"/>
      </w:pPr>
      <w:r>
        <w:t xml:space="preserve">Injectables supply</w:t>
      </w:r>
    </w:p>
    <w:p>
      <w:pPr>
        <w:pStyle w:val="FirstParagraph"/>
      </w:pPr>
      <w:r>
        <w:t xml:space="preserve">Baxter made progress clearing back orders at one internal manufacturing facility, but supply from a contract manufacturer is expected to remain limited into 2027. The mix impact is important because affected products include higher-margin injectables.</w:t>
      </w:r>
    </w:p>
    <w:p>
      <w:pPr>
        <w:pStyle w:val="BodyText"/>
      </w:pPr>
      <w:r>
        <w:t xml:space="preserve">A recovery in total volume without a better product mix may provide less margin benefit than expected.</w:t>
      </w:r>
    </w:p>
    <w:bookmarkEnd w:id="20"/>
    <w:bookmarkStart w:id="21" w:name="cfo-search"/>
    <w:p>
      <w:pPr>
        <w:pStyle w:val="Heading3"/>
      </w:pPr>
      <w:r>
        <w:t xml:space="preserve">CFO search</w:t>
      </w:r>
    </w:p>
    <w:p>
      <w:pPr>
        <w:pStyle w:val="FirstParagraph"/>
      </w:pPr>
      <w:r>
        <w:t xml:space="preserve">Anita Zielinski remained interim CFO at the time of Baxter’s July 14 segment-recasting filing. An update on the permanent CFO search would help reduce management-transition uncertainty as the company executes a complex operational and balance-sheet turnaround.</w:t>
      </w:r>
    </w:p>
    <w:bookmarkEnd w:id="21"/>
    <w:bookmarkStart w:id="22" w:name="tsa-income"/>
    <w:p>
      <w:pPr>
        <w:pStyle w:val="Heading3"/>
      </w:pPr>
      <w:r>
        <w:t xml:space="preserve">TSA income</w:t>
      </w:r>
    </w:p>
    <w:p>
      <w:pPr>
        <w:pStyle w:val="FirstParagraph"/>
      </w:pPr>
      <w:r>
        <w:t xml:space="preserve">Baxter expects</w:t>
      </w:r>
      <w:r>
        <w:t xml:space="preserve"> </w:t>
      </w:r>
      <m:oMath>
        <m:r>
          <m:t>130</m:t>
        </m:r>
        <m:r>
          <m:t>m</m:t>
        </m:r>
        <m:r>
          <m:t>i</m:t>
        </m:r>
        <m:r>
          <m:t>l</m:t>
        </m:r>
        <m:r>
          <m:t>l</m:t>
        </m:r>
        <m:r>
          <m:t>i</m:t>
        </m:r>
        <m:r>
          <m:t>o</m:t>
        </m:r>
        <m:r>
          <m:t>n</m:t>
        </m:r>
        <m:r>
          <m:rPr>
            <m:sty m:val="p"/>
          </m:rPr>
          <m:t>–</m:t>
        </m:r>
      </m:oMath>
      <w:r>
        <w:rPr>
          <w:b/>
          <w:bCs/>
        </w:rPr>
        <w:t xml:space="preserve">140 million</w:t>
      </w:r>
      <w:r>
        <w:t xml:space="preserve"> </w:t>
      </w:r>
      <w:r>
        <w:t xml:space="preserve">of transition-services income and reimbursements in 2026. These earnings will eventually roll off. Investors should distinguish between improvement in the operating businesses and support from temporary Vantive arrangements.</w:t>
      </w:r>
    </w:p>
    <w:p>
      <w:r>
        <w:pict>
          <v:rect style="width:0;height:1.5pt" o:hralign="center" o:hrstd="t" o:hr="t"/>
        </w:pict>
      </w:r>
    </w:p>
    <w:bookmarkEnd w:id="22"/>
    <w:bookmarkEnd w:id="23"/>
    <w:bookmarkStart w:id="27" w:name="scenario-framework"/>
    <w:p>
      <w:pPr>
        <w:pStyle w:val="Heading2"/>
      </w:pPr>
      <w:r>
        <w:t xml:space="preserve">Scenario framework</w:t>
      </w:r>
    </w:p>
    <w:bookmarkStart w:id="24" w:name="bull-case"/>
    <w:p>
      <w:pPr>
        <w:pStyle w:val="Heading3"/>
      </w:pPr>
      <w:r>
        <w:t xml:space="preserve">Bull case</w:t>
      </w:r>
    </w:p>
    <w:p>
      <w:pPr>
        <w:pStyle w:val="Compact"/>
        <w:numPr>
          <w:ilvl w:val="0"/>
          <w:numId w:val="1017"/>
        </w:numPr>
      </w:pPr>
      <w:r>
        <w:t xml:space="preserve">Adjusted EPS modestly exceeds $0.36</w:t>
      </w:r>
    </w:p>
    <w:p>
      <w:pPr>
        <w:pStyle w:val="Compact"/>
        <w:numPr>
          <w:ilvl w:val="0"/>
          <w:numId w:val="1017"/>
        </w:numPr>
      </w:pPr>
      <w:r>
        <w:t xml:space="preserve">Organic sales approach flat or turn slightly positive</w:t>
      </w:r>
    </w:p>
    <w:p>
      <w:pPr>
        <w:pStyle w:val="Compact"/>
        <w:numPr>
          <w:ilvl w:val="0"/>
          <w:numId w:val="1017"/>
        </w:numPr>
      </w:pPr>
      <w:r>
        <w:t xml:space="preserve">No material Novum returns or customer losses</w:t>
      </w:r>
    </w:p>
    <w:p>
      <w:pPr>
        <w:pStyle w:val="Compact"/>
        <w:numPr>
          <w:ilvl w:val="0"/>
          <w:numId w:val="1017"/>
        </w:numPr>
      </w:pPr>
      <w:r>
        <w:t xml:space="preserve">Advanced Surgery remains near double-digit growth</w:t>
      </w:r>
    </w:p>
    <w:p>
      <w:pPr>
        <w:pStyle w:val="Compact"/>
        <w:numPr>
          <w:ilvl w:val="0"/>
          <w:numId w:val="1017"/>
        </w:numPr>
      </w:pPr>
      <w:r>
        <w:t xml:space="preserve">HST orders remain healthy and revenue conversion improves</w:t>
      </w:r>
    </w:p>
    <w:p>
      <w:pPr>
        <w:pStyle w:val="Compact"/>
        <w:numPr>
          <w:ilvl w:val="0"/>
          <w:numId w:val="1017"/>
        </w:numPr>
      </w:pPr>
      <w:r>
        <w:t xml:space="preserve">Management reaffirms guidance with clearer evidence behind the margin bridge</w:t>
      </w:r>
    </w:p>
    <w:p>
      <w:pPr>
        <w:pStyle w:val="Compact"/>
        <w:numPr>
          <w:ilvl w:val="0"/>
          <w:numId w:val="1017"/>
        </w:numPr>
      </w:pPr>
      <w:r>
        <w:t xml:space="preserve">Free cash flow remains positive and the 3x leverage target is maintained</w:t>
      </w:r>
    </w:p>
    <w:bookmarkEnd w:id="24"/>
    <w:bookmarkStart w:id="25" w:name="base-case"/>
    <w:p>
      <w:pPr>
        <w:pStyle w:val="Heading3"/>
      </w:pPr>
      <w:r>
        <w:t xml:space="preserve">Base case</w:t>
      </w:r>
    </w:p>
    <w:p>
      <w:pPr>
        <w:pStyle w:val="Compact"/>
        <w:numPr>
          <w:ilvl w:val="0"/>
          <w:numId w:val="1018"/>
        </w:numPr>
      </w:pPr>
      <w:r>
        <w:t xml:space="preserve">EPS is approximately</w:t>
      </w:r>
      <w:r>
        <w:t xml:space="preserve"> </w:t>
      </w:r>
      <m:oMath>
        <m:r>
          <m:t>0.35</m:t>
        </m:r>
        <m:r>
          <m:rPr>
            <m:sty m:val="p"/>
          </m:rPr>
          <m:t>–</m:t>
        </m:r>
      </m:oMath>
      <w:r>
        <w:t xml:space="preserve">0.38</w:t>
      </w:r>
    </w:p>
    <w:p>
      <w:pPr>
        <w:pStyle w:val="Compact"/>
        <w:numPr>
          <w:ilvl w:val="0"/>
          <w:numId w:val="1018"/>
        </w:numPr>
      </w:pPr>
      <w:r>
        <w:t xml:space="preserve">Organic sales remain modestly negative</w:t>
      </w:r>
    </w:p>
    <w:p>
      <w:pPr>
        <w:pStyle w:val="Compact"/>
        <w:numPr>
          <w:ilvl w:val="0"/>
          <w:numId w:val="1018"/>
        </w:numPr>
      </w:pPr>
      <w:r>
        <w:t xml:space="preserve">Margins remain depressed as expected</w:t>
      </w:r>
    </w:p>
    <w:p>
      <w:pPr>
        <w:pStyle w:val="Compact"/>
        <w:numPr>
          <w:ilvl w:val="0"/>
          <w:numId w:val="1018"/>
        </w:numPr>
      </w:pPr>
      <w:r>
        <w:t xml:space="preserve">Full-year guidance is reiterated</w:t>
      </w:r>
    </w:p>
    <w:p>
      <w:pPr>
        <w:pStyle w:val="Compact"/>
        <w:numPr>
          <w:ilvl w:val="0"/>
          <w:numId w:val="1018"/>
        </w:numPr>
      </w:pPr>
      <w:r>
        <w:t xml:space="preserve">Management points to cost savings, seasonality and easier comparisons for the second half but provides limited incremental detail</w:t>
      </w:r>
    </w:p>
    <w:p>
      <w:pPr>
        <w:pStyle w:val="FirstParagraph"/>
      </w:pPr>
      <w:r>
        <w:t xml:space="preserve">This would be operationally acceptable, though the stock reaction could be muted given the recent rally.</w:t>
      </w:r>
    </w:p>
    <w:bookmarkEnd w:id="25"/>
    <w:bookmarkStart w:id="26" w:name="bear-case"/>
    <w:p>
      <w:pPr>
        <w:pStyle w:val="Heading3"/>
      </w:pPr>
      <w:r>
        <w:t xml:space="preserve">Bear case</w:t>
      </w:r>
    </w:p>
    <w:p>
      <w:pPr>
        <w:pStyle w:val="Compact"/>
        <w:numPr>
          <w:ilvl w:val="0"/>
          <w:numId w:val="1019"/>
        </w:numPr>
      </w:pPr>
      <w:r>
        <w:t xml:space="preserve">EPS falls materially below Q1’s $0.36</w:t>
      </w:r>
    </w:p>
    <w:p>
      <w:pPr>
        <w:pStyle w:val="Compact"/>
        <w:numPr>
          <w:ilvl w:val="0"/>
          <w:numId w:val="1019"/>
        </w:numPr>
      </w:pPr>
      <w:r>
        <w:t xml:space="preserve">Infusion and injectables weakness is worse than anticipated</w:t>
      </w:r>
    </w:p>
    <w:p>
      <w:pPr>
        <w:pStyle w:val="Compact"/>
        <w:numPr>
          <w:ilvl w:val="0"/>
          <w:numId w:val="1019"/>
        </w:numPr>
      </w:pPr>
      <w:r>
        <w:t xml:space="preserve">HST orders or installation schedules soften</w:t>
      </w:r>
    </w:p>
    <w:p>
      <w:pPr>
        <w:pStyle w:val="Compact"/>
        <w:numPr>
          <w:ilvl w:val="0"/>
          <w:numId w:val="1019"/>
        </w:numPr>
      </w:pPr>
      <w:r>
        <w:t xml:space="preserve">Tariff or manufacturing costs rise</w:t>
      </w:r>
    </w:p>
    <w:p>
      <w:pPr>
        <w:pStyle w:val="Compact"/>
        <w:numPr>
          <w:ilvl w:val="0"/>
          <w:numId w:val="1019"/>
        </w:numPr>
      </w:pPr>
      <w:r>
        <w:t xml:space="preserve">Novum returns become material</w:t>
      </w:r>
    </w:p>
    <w:p>
      <w:pPr>
        <w:pStyle w:val="Compact"/>
        <w:numPr>
          <w:ilvl w:val="0"/>
          <w:numId w:val="1019"/>
        </w:numPr>
      </w:pPr>
      <w:r>
        <w:t xml:space="preserve">Free cash flow reverses</w:t>
      </w:r>
    </w:p>
    <w:p>
      <w:pPr>
        <w:pStyle w:val="Compact"/>
        <w:numPr>
          <w:ilvl w:val="0"/>
          <w:numId w:val="1019"/>
        </w:numPr>
      </w:pPr>
      <w:r>
        <w:t xml:space="preserve">EPS or margin guidance is reduced, or management acknowledges that the second-half ramp is taking longer</w:t>
      </w:r>
    </w:p>
    <w:p>
      <w:pPr>
        <w:pStyle w:val="FirstParagraph"/>
      </w:pPr>
      <w:r>
        <w:t xml:space="preserve">A guide cut would challenge the core turnaround thesis because the existing outlook already incorporates a weak first half and depends heavily on second-half execution.</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t xml:space="preserve">Baxter does not need to produce a strong Q2 in absolute terms; management explicitly prepared investors for another weak quarter. It does need to demonstrate that Q2 represents the trough.</w:t>
      </w:r>
    </w:p>
    <w:p>
      <w:pPr>
        <w:pStyle w:val="BodyText"/>
      </w:pPr>
      <w:r>
        <w:t xml:space="preserve">The most constructive combination would be</w:t>
      </w:r>
      <w:r>
        <w:t xml:space="preserve"> </w:t>
      </w:r>
      <w:r>
        <w:rPr>
          <w:b/>
          <w:bCs/>
        </w:rPr>
        <w:t xml:space="preserve">approximately $0.36 or better of adjusted EPS, stable underlying demand, no incremental Novum damage, positive free cash flow and concrete evidence that inventory absorption and cost reductions will lift second-half margins</w:t>
      </w:r>
      <w:r>
        <w:t xml:space="preserve">.</w:t>
      </w:r>
    </w:p>
    <w:p>
      <w:pPr>
        <w:pStyle w:val="BodyText"/>
      </w:pPr>
      <w:r>
        <w:t xml:space="preserve">The key risk is that Baxter reiterates its annual targets while once again pushing the proof of recovery into the next quarter. With the shares up sharply since Q1, investors are likely to demand more than a nominal earnings beat—they need evidence that the projected second-half earnings step-up is already becoming visible.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2026-07-29T18:16:47Z</dcterms:created>
  <dcterms:modified xsi:type="dcterms:W3CDTF">2026-07-29T18:16:47Z</dcterms:modified>
</cp:coreProperties>
</file>

<file path=docProps/custom.xml><?xml version="1.0" encoding="utf-8"?>
<Properties xmlns="http://schemas.openxmlformats.org/officeDocument/2006/custom-properties" xmlns:vt="http://schemas.openxmlformats.org/officeDocument/2006/docPropsVTypes"/>
</file>