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ax-earnings-predictions--2026-07-30"/>
    <w:p>
      <w:pPr>
        <w:pStyle w:val="Heading1"/>
      </w:pPr>
      <w:r>
        <w:t xml:space="preserve">BAX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~$0.37 vs. cons $0.36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~$2.74B vs. cons $2.75B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~-2.0% vs. cons -0.5%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1.85</m:t>
              </m:r>
              <m:r>
                <m:rPr>
                  <m:sty m:val="p"/>
                </m:rPr>
                <m:t>−</m:t>
              </m:r>
            </m:oMath>
            <w:r>
              <w:t xml:space="preserve">2.05 vs. cons $1.95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~0.0% vs. cons 0.0%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~13.0%-14.0% vs. cons 13.5%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adjusted operating-margin expansion versus 1H26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~500 bps vs. cons 500 bps (2H26 vs. 1H26)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EPS beat is unlikely to offset a weaker organic-sales print and the still-demanding ~500-bp 2H-versus-1H margin bridge. Even with FY26 EPS held at ~</w:t>
            </w:r>
            <m:oMath>
              <m:r>
                <m:t>1.95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1.95 consensus, investors are likely to lower confidence in the ~</w:t>
            </w:r>
            <m:oMath>
              <m:r>
                <m:t>1.23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2</m:t>
              </m:r>
              <m:r>
                <m:t>H</m:t>
              </m:r>
              <m:r>
                <m:t>E</m:t>
              </m:r>
              <m:r>
                <m:t>P</m:t>
              </m:r>
              <m:r>
                <m:t>S</m:t>
              </m:r>
              <m:r>
                <m:t>r</m:t>
              </m:r>
              <m:r>
                <m:t>e</m:t>
              </m:r>
              <m:r>
                <m:t>q</m:t>
              </m:r>
              <m:r>
                <m:t>u</m:t>
              </m:r>
              <m:r>
                <m:t>i</m:t>
              </m:r>
              <m:r>
                <m:t>r</m:t>
              </m:r>
              <m:r>
                <m:t>e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1.23 currently embedded, pressuring out-period estimates and extending the initial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2026-07-29T18:16:22Z</dcterms:created>
  <dcterms:modified xsi:type="dcterms:W3CDTF">2026-07-29T18:16:22Z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