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f80250e329b4e7ae958af6d61c715f683d8a52"/>
    <w:p>
      <w:pPr>
        <w:pStyle w:val="Heading1"/>
      </w:pPr>
      <w:r>
        <w:t xml:space="preserve">Baxter International (NYSE: BAX) — 2Q26 Earnings Preview</w:t>
      </w:r>
    </w:p>
    <w:p>
      <w:pPr>
        <w:pStyle w:val="FirstParagraph"/>
      </w:pPr>
      <w:r>
        <w:rPr>
          <w:b/>
          <w:bCs/>
        </w:rPr>
        <w:t xml:space="preserve">Event:</w:t>
      </w:r>
      <w:r>
        <w:t xml:space="preserve"> </w:t>
      </w:r>
      <w:r>
        <w:t xml:space="preserve">2026Q2 earnings call —</w:t>
      </w:r>
      <w:r>
        <w:t xml:space="preserve"> </w:t>
      </w:r>
      <w:r>
        <w:rPr>
          <w:b/>
          <w:bCs/>
        </w:rPr>
        <w:t xml:space="preserve">Thursday, July 30, 2026</w:t>
      </w:r>
    </w:p>
    <w:bookmarkStart w:id="9" w:name="bottom-line"/>
    <w:p>
      <w:pPr>
        <w:pStyle w:val="Heading2"/>
      </w:pPr>
      <w:r>
        <w:t xml:space="preserve">Bottom line</w:t>
      </w:r>
    </w:p>
    <w:p>
      <w:pPr>
        <w:pStyle w:val="FirstParagraph"/>
      </w:pPr>
      <w:r>
        <w:t xml:space="preserve">Baxter’s second-quarter report is primarily a</w:t>
      </w:r>
      <w:r>
        <w:t xml:space="preserve"> </w:t>
      </w:r>
      <w:r>
        <w:rPr>
          <w:b/>
          <w:bCs/>
        </w:rPr>
        <w:t xml:space="preserve">credibility and execution checkpoint</w:t>
      </w:r>
      <w:r>
        <w:t xml:space="preserve">, not a near-term growth story. Management has already indicated that</w:t>
      </w:r>
      <w:r>
        <w:t xml:space="preserve"> </w:t>
      </w:r>
      <w:r>
        <w:rPr>
          <w:b/>
          <w:bCs/>
        </w:rPr>
        <w:t xml:space="preserve">2Q adjusted earnings should be broadly similar to 1Q’s</w:t>
      </w:r>
      <w:r>
        <w:rPr>
          <w:b/>
          <w:bCs/>
        </w:rPr>
        <w:t xml:space="preserve"> </w:t>
      </w:r>
      <m:oMath>
        <m:r>
          <m:t>0.36</m:t>
        </m:r>
        <m:r>
          <m:t>p</m:t>
        </m:r>
        <m:r>
          <m:t>e</m:t>
        </m:r>
        <m:r>
          <m:t>r</m:t>
        </m:r>
        <m:r>
          <m:t>s</m:t>
        </m:r>
        <m:r>
          <m:t>h</m:t>
        </m:r>
        <m:r>
          <m:t>a</m:t>
        </m:r>
        <m:r>
          <m:t>r</m:t>
        </m:r>
        <m:r>
          <m:t>e</m:t>
        </m:r>
        <m:r>
          <m:rPr>
            <m:sty m:val="p"/>
          </m:rPr>
          <m:t>*</m:t>
        </m:r>
        <m:r>
          <m:rPr>
            <m:sty m:val="p"/>
          </m:rPr>
          <m:t>*</m:t>
        </m:r>
        <m:r>
          <m:rPr>
            <m:sty m:val="p"/>
          </m:rPr>
          <m:t>,</m:t>
        </m:r>
        <m:r>
          <m:t>w</m:t>
        </m:r>
        <m:r>
          <m:t>h</m:t>
        </m:r>
        <m:r>
          <m:t>i</m:t>
        </m:r>
        <m:r>
          <m:t>l</m:t>
        </m:r>
        <m:r>
          <m:t>e</m:t>
        </m:r>
        <m:r>
          <m:t>m</m:t>
        </m:r>
        <m:r>
          <m:t>a</m:t>
        </m:r>
        <m:r>
          <m:t>i</m:t>
        </m:r>
        <m:r>
          <m:t>n</m:t>
        </m:r>
        <m:r>
          <m:t>t</m:t>
        </m:r>
        <m:r>
          <m:t>a</m:t>
        </m:r>
        <m:r>
          <m:t>i</m:t>
        </m:r>
        <m:r>
          <m:t>n</m:t>
        </m:r>
        <m:r>
          <m:t>i</m:t>
        </m:r>
        <m:r>
          <m:t>n</m:t>
        </m:r>
        <m:r>
          <m:t>g</m:t>
        </m:r>
        <m:r>
          <m:t>i</m:t>
        </m:r>
        <m:r>
          <m:t>t</m:t>
        </m:r>
        <m:r>
          <m:t>s</m:t>
        </m:r>
        <m:r>
          <m:t>f</m:t>
        </m:r>
        <m:r>
          <m:t>u</m:t>
        </m:r>
        <m:r>
          <m:t>l</m:t>
        </m:r>
        <m:r>
          <m:t>l</m:t>
        </m:r>
        <m:r>
          <m:rPr>
            <m:sty m:val="p"/>
          </m:rPr>
          <m:t>−</m:t>
        </m:r>
        <m:r>
          <m:t>y</m:t>
        </m:r>
        <m:r>
          <m:t>e</m:t>
        </m:r>
        <m:r>
          <m:t>a</m:t>
        </m:r>
        <m:r>
          <m:t>r</m:t>
        </m:r>
        <m:r>
          <m:t>o</m:t>
        </m:r>
        <m:r>
          <m:t>u</m:t>
        </m:r>
        <m:r>
          <m:t>t</m:t>
        </m:r>
        <m:r>
          <m:t>l</m:t>
        </m:r>
        <m:r>
          <m:t>o</m:t>
        </m:r>
        <m:r>
          <m:t>o</m:t>
        </m:r>
        <m:r>
          <m:t>k</m:t>
        </m:r>
        <m:r>
          <m:t>f</m:t>
        </m:r>
        <m:r>
          <m:t>o</m:t>
        </m:r>
        <m:r>
          <m:t>r</m:t>
        </m:r>
        <m:r>
          <m:t>r</m:t>
        </m:r>
        <m:r>
          <m:t>o</m:t>
        </m:r>
        <m:r>
          <m:t>u</m:t>
        </m:r>
        <m:r>
          <m:t>g</m:t>
        </m:r>
        <m:r>
          <m:t>h</m:t>
        </m:r>
        <m:r>
          <m:t>l</m:t>
        </m:r>
        <m:r>
          <m:t>y</m:t>
        </m:r>
        <m:r>
          <m:t>f</m:t>
        </m:r>
        <m:r>
          <m:t>l</m:t>
        </m:r>
        <m:r>
          <m:t>a</m:t>
        </m:r>
        <m:r>
          <m:t>t</m:t>
        </m:r>
        <m:r>
          <m:t>o</m:t>
        </m:r>
        <m:r>
          <m:t>r</m:t>
        </m:r>
        <m:r>
          <m:t>g</m:t>
        </m:r>
        <m:r>
          <m:t>a</m:t>
        </m:r>
        <m:r>
          <m:t>n</m:t>
        </m:r>
        <m:r>
          <m:t>i</m:t>
        </m:r>
        <m:r>
          <m:t>c</m:t>
        </m:r>
        <m:r>
          <m:t>r</m:t>
        </m:r>
        <m:r>
          <m:t>e</m:t>
        </m:r>
        <m:r>
          <m:t>v</m:t>
        </m:r>
        <m:r>
          <m:t>e</m:t>
        </m:r>
        <m:r>
          <m:t>n</m:t>
        </m:r>
        <m:r>
          <m:t>u</m:t>
        </m:r>
        <m:r>
          <m:t>e</m:t>
        </m:r>
        <m:r>
          <m:t>g</m:t>
        </m:r>
        <m:r>
          <m:t>r</m:t>
        </m:r>
        <m:r>
          <m:t>o</m:t>
        </m:r>
        <m:r>
          <m:t>w</m:t>
        </m:r>
        <m:r>
          <m:t>t</m:t>
        </m:r>
        <m:r>
          <m:t>h</m:t>
        </m:r>
        <m:r>
          <m:t>a</m:t>
        </m:r>
        <m:r>
          <m:t>n</m:t>
        </m:r>
        <m:r>
          <m:t>d</m:t>
        </m:r>
        <m:r>
          <m:rPr>
            <m:sty m:val="p"/>
          </m:rPr>
          <m:t>*</m:t>
        </m:r>
        <m:r>
          <m:rPr>
            <m:sty m:val="p"/>
          </m:rPr>
          <m:t>*</m:t>
        </m:r>
      </m:oMath>
      <w:r>
        <w:rPr>
          <w:b/>
          <w:bCs/>
        </w:rPr>
        <w:t xml:space="preserve">1.85–$2.05 of adjusted EPS</w:t>
      </w:r>
      <w:r>
        <w:t xml:space="preserve">.</w:t>
      </w:r>
    </w:p>
    <w:p>
      <w:pPr>
        <w:pStyle w:val="BodyText"/>
      </w:pPr>
      <w:r>
        <w:t xml:space="preserve">The key investor question is therefore not simply whether BAX meets a likely-low quarterly bar. It is whether the company provides enough evidence that:</w:t>
      </w:r>
    </w:p>
    <w:p>
      <w:pPr>
        <w:pStyle w:val="Compact"/>
        <w:numPr>
          <w:ilvl w:val="0"/>
          <w:numId w:val="1001"/>
        </w:numPr>
      </w:pPr>
      <w:r>
        <w:t xml:space="preserve">the first-half manufacturing-cost, tariff, and absorption pressures are now largely contained;</w:t>
      </w:r>
    </w:p>
    <w:p>
      <w:pPr>
        <w:pStyle w:val="Compact"/>
        <w:numPr>
          <w:ilvl w:val="0"/>
          <w:numId w:val="1001"/>
        </w:numPr>
      </w:pPr>
      <w:r>
        <w:t xml:space="preserve">the second-half margin recovery embedded in full-year guidance remains realistic;</w:t>
      </w:r>
    </w:p>
    <w:p>
      <w:pPr>
        <w:pStyle w:val="Compact"/>
        <w:numPr>
          <w:ilvl w:val="0"/>
          <w:numId w:val="1001"/>
        </w:numPr>
      </w:pPr>
      <w:r>
        <w:t xml:space="preserve">core demand is stabilizing despite the new, lower IV-utilization baseline; and</w:t>
      </w:r>
    </w:p>
    <w:p>
      <w:pPr>
        <w:pStyle w:val="Compact"/>
        <w:numPr>
          <w:ilvl w:val="0"/>
          <w:numId w:val="1001"/>
        </w:numPr>
      </w:pPr>
      <w:r>
        <w:t xml:space="preserve">Baxter can delever toward its approximately</w:t>
      </w:r>
      <w:r>
        <w:t xml:space="preserve"> </w:t>
      </w:r>
      <w:r>
        <w:rPr>
          <w:b/>
          <w:bCs/>
        </w:rPr>
        <w:t xml:space="preserve">3x year-end target</w:t>
      </w:r>
      <w:r>
        <w:t xml:space="preserve"> </w:t>
      </w:r>
      <w:r>
        <w:t xml:space="preserve">while setting up a more durable 2027 earnings base.</w:t>
      </w:r>
    </w:p>
    <w:p>
      <w:pPr>
        <w:pStyle w:val="FirstParagraph"/>
      </w:pPr>
      <w:r>
        <w:t xml:space="preserve">The shares closed at</w:t>
      </w:r>
      <w:r>
        <w:t xml:space="preserve"> </w:t>
      </w:r>
      <w:r>
        <w:rPr>
          <w:b/>
          <w:bCs/>
        </w:rPr>
        <w:t xml:space="preserve">$24.70 on July 29</w:t>
      </w:r>
      <w:r>
        <w:t xml:space="preserve">, up about</w:t>
      </w:r>
      <w:r>
        <w:t xml:space="preserve"> </w:t>
      </w:r>
      <w:r>
        <w:rPr>
          <w:b/>
          <w:bCs/>
        </w:rPr>
        <w:t xml:space="preserve">29% year to date</w:t>
      </w:r>
      <w:r>
        <w:t xml:space="preserve"> </w:t>
      </w:r>
      <w:r>
        <w:t xml:space="preserve">from $19.11 at year-end 2025. At the $1.95 midpoint of 2026 EPS guidance, that is roughly</w:t>
      </w:r>
      <w:r>
        <w:t xml:space="preserve"> </w:t>
      </w:r>
      <w:r>
        <w:rPr>
          <w:b/>
          <w:bCs/>
        </w:rPr>
        <w:t xml:space="preserve">12.7x</w:t>
      </w:r>
      <w:r>
        <w:t xml:space="preserve"> </w:t>
      </w:r>
      <w:r>
        <w:t xml:space="preserve">adjusted EPS—suggesting the market has begun to underwrite the turnaround, but still needs proof of delivery.</w:t>
      </w:r>
    </w:p>
    <w:p>
      <w:r>
        <w:pict>
          <v:rect style="width:0;height:1.5pt" o:hralign="center" o:hrstd="t" o:hr="t"/>
        </w:pict>
      </w:r>
    </w:p>
    <w:bookmarkEnd w:id="9"/>
    <w:bookmarkStart w:id="11" w:name="X4e852f4ecbaff093acd1420b511a89fe64cf681"/>
    <w:p>
      <w:pPr>
        <w:pStyle w:val="Heading2"/>
      </w:pPr>
      <w:r>
        <w:t xml:space="preserve">What management has told investors to expect</w:t>
      </w:r>
    </w:p>
    <w:bookmarkStart w:id="10" w:name="guidance-remains-intact"/>
    <w:p>
      <w:pPr>
        <w:pStyle w:val="Heading3"/>
      </w:pPr>
      <w:r>
        <w:t xml:space="preserve">Guidance remains intact</w:t>
      </w:r>
    </w:p>
    <w:p>
      <w:pPr>
        <w:pStyle w:val="FirstParagraph"/>
      </w:pPr>
      <w:r>
        <w:t xml:space="preserve">At 1Q results, Baxter reiterated: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FY26 outlook</w:t>
            </w:r>
          </w:p>
        </w:tc>
        <w:tc>
          <w:tcPr/>
          <w:p>
            <w:pPr>
              <w:pStyle w:val="Compact"/>
              <w:jc w:val="right"/>
            </w:pPr>
            <w:r>
              <w:t xml:space="preserve">Management guidance</w:t>
            </w:r>
          </w:p>
        </w:tc>
      </w:tr>
      <w:tr>
        <w:tc>
          <w:tcPr/>
          <w:p>
            <w:pPr>
              <w:pStyle w:val="Compact"/>
            </w:pPr>
            <w:r>
              <w:t xml:space="preserve">Reported sales growth</w:t>
            </w:r>
          </w:p>
        </w:tc>
        <w:tc>
          <w:tcPr/>
          <w:p>
            <w:pPr>
              <w:pStyle w:val="Compact"/>
              <w:jc w:val="right"/>
            </w:pPr>
            <w:r>
              <w:t xml:space="preserve">Flat to +1%</w:t>
            </w:r>
          </w:p>
        </w:tc>
      </w:tr>
      <w:tr>
        <w:tc>
          <w:tcPr/>
          <w:p>
            <w:pPr>
              <w:pStyle w:val="Compact"/>
            </w:pPr>
            <w:r>
              <w:t xml:space="preserve">Organic sales growth</w:t>
            </w:r>
          </w:p>
        </w:tc>
        <w:tc>
          <w:tcPr/>
          <w:p>
            <w:pPr>
              <w:pStyle w:val="Compact"/>
              <w:jc w:val="right"/>
            </w:pPr>
            <w:r>
              <w:t xml:space="preserve">Approximately flat</w:t>
            </w:r>
          </w:p>
        </w:tc>
      </w:tr>
      <w:tr>
        <w:tc>
          <w:tcPr/>
          <w:p>
            <w:pPr>
              <w:pStyle w:val="Compact"/>
            </w:pPr>
            <w:r>
              <w:t xml:space="preserve">Adjusted EPS</w:t>
            </w:r>
          </w:p>
        </w:tc>
        <w:tc>
          <w:tcPr/>
          <w:p>
            <w:pPr>
              <w:pStyle w:val="Compact"/>
              <w:jc w:val="right"/>
            </w:pPr>
            <m:oMath>
              <m:r>
                <m:t>1.85</m:t>
              </m:r>
              <m:r>
                <m:rPr>
                  <m:sty m:val="p"/>
                </m:rPr>
                <m:t>–</m:t>
              </m:r>
            </m:oMath>
            <w:r>
              <w:t xml:space="preserve">2.05</w:t>
            </w:r>
          </w:p>
        </w:tc>
      </w:tr>
    </w:tbl>
    <w:p>
      <w:pPr>
        <w:pStyle w:val="BodyText"/>
      </w:pPr>
      <w:r>
        <w:t xml:space="preserve">For 2Q specifically, management subsequently characterized adjusted earnings as</w:t>
      </w:r>
      <w:r>
        <w:t xml:space="preserve"> </w:t>
      </w:r>
      <w:r>
        <w:rPr>
          <w:b/>
          <w:bCs/>
        </w:rPr>
        <w:t xml:space="preserve">similar to 1Q</w:t>
      </w:r>
      <w:r>
        <w:t xml:space="preserve">. That points to approximately</w:t>
      </w:r>
      <w:r>
        <w:t xml:space="preserve"> </w:t>
      </w:r>
      <w:r>
        <w:rPr>
          <w:b/>
          <w:bCs/>
        </w:rPr>
        <w:t xml:space="preserve">$0.36 adjusted EPS</w:t>
      </w:r>
      <w:r>
        <w:t xml:space="preserve">, absent a change in outlook at the report.</w:t>
      </w:r>
    </w:p>
    <w:p>
      <w:pPr>
        <w:pStyle w:val="BodyText"/>
      </w:pPr>
      <w:r>
        <w:t xml:space="preserve">That setup makes the</w:t>
      </w:r>
      <w:r>
        <w:t xml:space="preserve"> </w:t>
      </w:r>
      <w:r>
        <w:rPr>
          <w:b/>
          <w:bCs/>
        </w:rPr>
        <w:t xml:space="preserve">back half the real earnings event</w:t>
      </w:r>
      <w:r>
        <w:t xml:space="preserve">. If BAX earns</w:t>
      </w:r>
      <w:r>
        <w:t xml:space="preserve"> </w:t>
      </w:r>
      <m:oMath>
        <m:r>
          <m:t>0.36</m:t>
        </m:r>
        <m:r>
          <m:t>i</m:t>
        </m:r>
        <m:r>
          <m:t>n</m:t>
        </m:r>
        <m:r>
          <m:t>b</m:t>
        </m:r>
        <m:r>
          <m:t>o</m:t>
        </m:r>
        <m:r>
          <m:t>t</m:t>
        </m:r>
        <m:r>
          <m:t>h</m:t>
        </m:r>
        <m:r>
          <m:t>1</m:t>
        </m:r>
        <m:r>
          <m:t>Q</m:t>
        </m:r>
        <m:r>
          <m:t>a</m:t>
        </m:r>
        <m:r>
          <m:t>n</m:t>
        </m:r>
        <m:r>
          <m:t>d</m:t>
        </m:r>
        <m:r>
          <m:t>2</m:t>
        </m:r>
        <m:r>
          <m:t>Q</m:t>
        </m:r>
        <m:r>
          <m:rPr>
            <m:sty m:val="p"/>
          </m:rPr>
          <m:t>,</m:t>
        </m:r>
        <m:r>
          <m:t>i</m:t>
        </m:r>
        <m:r>
          <m:t>t</m:t>
        </m:r>
        <m:r>
          <m:t>w</m:t>
        </m:r>
        <m:r>
          <m:t>o</m:t>
        </m:r>
        <m:r>
          <m:t>u</m:t>
        </m:r>
        <m:r>
          <m:t>l</m:t>
        </m:r>
        <m:r>
          <m:t>d</m:t>
        </m:r>
        <m:r>
          <m:t>n</m:t>
        </m:r>
        <m:r>
          <m:t>e</m:t>
        </m:r>
        <m:r>
          <m:t>e</m:t>
        </m:r>
        <m:r>
          <m:t>d</m:t>
        </m:r>
        <m:r>
          <m:t>r</m:t>
        </m:r>
        <m:r>
          <m:t>o</m:t>
        </m:r>
        <m:r>
          <m:t>u</m:t>
        </m:r>
        <m:r>
          <m:t>g</m:t>
        </m:r>
        <m:r>
          <m:t>h</m:t>
        </m:r>
        <m:r>
          <m:t>l</m:t>
        </m:r>
        <m:r>
          <m:t>y</m:t>
        </m:r>
        <m:r>
          <m:rPr>
            <m:sty m:val="p"/>
          </m:rPr>
          <m:t>*</m:t>
        </m:r>
        <m:r>
          <m:rPr>
            <m:sty m:val="p"/>
          </m:rPr>
          <m:t>*</m:t>
        </m:r>
      </m:oMath>
      <w:r>
        <w:t xml:space="preserve">1.23** of adjusted EPS in the second half—or about</w:t>
      </w:r>
      <w:r>
        <w:t xml:space="preserve"> </w:t>
      </w:r>
      <w:r>
        <w:rPr>
          <w:b/>
          <w:bCs/>
        </w:rPr>
        <w:t xml:space="preserve">$0.62 per quarter</w:t>
      </w:r>
      <w:r>
        <w:t xml:space="preserve">—to reach the $1.95 full-year midpoint.</w:t>
      </w:r>
    </w:p>
    <w:p>
      <w:pPr>
        <w:pStyle w:val="BodyText"/>
      </w:pPr>
      <w:r>
        <w:t xml:space="preserve">Management has explicitly framed this inflection as achievable: at the midpoint of guidance, it suggested adjusted operating margin should expand by</w:t>
      </w:r>
      <w:r>
        <w:t xml:space="preserve"> </w:t>
      </w:r>
      <w:r>
        <w:rPr>
          <w:b/>
          <w:bCs/>
        </w:rPr>
        <w:t xml:space="preserve">more than 500 basis points from the first half to the second half</w:t>
      </w:r>
      <w:r>
        <w:t xml:space="preserve">, driven by improved volume leverage, the roll-off of elevated manufacturing costs, and benefits from cost actions.</w:t>
      </w:r>
    </w:p>
    <w:bookmarkEnd w:id="10"/>
    <w:bookmarkEnd w:id="11"/>
    <w:bookmarkStart w:id="12" w:name="X0a2d4efcfb51c87bcb734326db1c80ecbe5d196"/>
    <w:p>
      <w:pPr>
        <w:pStyle w:val="Heading2"/>
      </w:pPr>
      <w:r>
        <w:t xml:space="preserve">1Q starting point: weak organic growth, but a path to recovery</w:t>
      </w:r>
    </w:p>
    <w:p>
      <w:pPr>
        <w:pStyle w:val="FirstParagraph"/>
      </w:pPr>
      <w:r>
        <w:t xml:space="preserve">Baxter’s 1Q26 results were mixed:</w:t>
      </w:r>
    </w:p>
    <w:p>
      <w:pPr>
        <w:pStyle w:val="Compact"/>
        <w:numPr>
          <w:ilvl w:val="0"/>
          <w:numId w:val="1002"/>
        </w:numPr>
      </w:pPr>
      <w:r>
        <w:rPr>
          <w:b/>
          <w:bCs/>
        </w:rPr>
        <w:t xml:space="preserve">Revenue:</w:t>
      </w:r>
      <w:r>
        <w:t xml:space="preserve"> </w:t>
      </w:r>
      <w:r>
        <w:t xml:space="preserve">$2.70 billion,</w:t>
      </w:r>
      <w:r>
        <w:t xml:space="preserve"> </w:t>
      </w:r>
      <w:r>
        <w:rPr>
          <w:b/>
          <w:bCs/>
        </w:rPr>
        <w:t xml:space="preserve">+3% reported</w:t>
      </w:r>
      <w:r>
        <w:t xml:space="preserve"> </w:t>
      </w:r>
      <w:r>
        <w:t xml:space="preserve">but</w:t>
      </w:r>
      <w:r>
        <w:t xml:space="preserve"> </w:t>
      </w:r>
      <w:r>
        <w:rPr>
          <w:b/>
          <w:bCs/>
        </w:rPr>
        <w:t xml:space="preserve">-1% organic</w:t>
      </w:r>
    </w:p>
    <w:p>
      <w:pPr>
        <w:pStyle w:val="Compact"/>
        <w:numPr>
          <w:ilvl w:val="0"/>
          <w:numId w:val="1002"/>
        </w:numPr>
      </w:pPr>
      <w:r>
        <w:rPr>
          <w:b/>
          <w:bCs/>
        </w:rPr>
        <w:t xml:space="preserve">Adjusted EPS:</w:t>
      </w:r>
      <w:r>
        <w:t xml:space="preserve"> </w:t>
      </w:r>
      <w:r>
        <w:t xml:space="preserve">$0.36, down from $0.55 in 1Q25</w:t>
      </w:r>
    </w:p>
    <w:p>
      <w:pPr>
        <w:pStyle w:val="Compact"/>
        <w:numPr>
          <w:ilvl w:val="0"/>
          <w:numId w:val="1002"/>
        </w:numPr>
      </w:pPr>
      <w:r>
        <w:rPr>
          <w:b/>
          <w:bCs/>
        </w:rPr>
        <w:t xml:space="preserve">Adjusted operating margin:</w:t>
      </w:r>
      <w:r>
        <w:t xml:space="preserve"> </w:t>
      </w:r>
      <w:r>
        <w:t xml:space="preserve">11.0%, down from 14.9%</w:t>
      </w:r>
    </w:p>
    <w:p>
      <w:pPr>
        <w:pStyle w:val="Compact"/>
        <w:numPr>
          <w:ilvl w:val="0"/>
          <w:numId w:val="1002"/>
        </w:numPr>
      </w:pPr>
      <w:r>
        <w:rPr>
          <w:b/>
          <w:bCs/>
        </w:rPr>
        <w:t xml:space="preserve">Free cash flow:</w:t>
      </w:r>
      <w:r>
        <w:t xml:space="preserve"> </w:t>
      </w:r>
      <w:r>
        <w:t xml:space="preserve">$76 million, versus negative $221 million a year earlier</w:t>
      </w:r>
    </w:p>
    <w:p>
      <w:pPr>
        <w:pStyle w:val="FirstParagraph"/>
      </w:pPr>
      <w:r>
        <w:t xml:space="preserve">The earnings pressure was tied to tariffs, higher manufacturing costs, unfavorable factory absorption, and difficult comparisons. Importantly, management did</w:t>
      </w:r>
      <w:r>
        <w:t xml:space="preserve"> </w:t>
      </w:r>
      <w:r>
        <w:rPr>
          <w:b/>
          <w:bCs/>
        </w:rPr>
        <w:t xml:space="preserve">not</w:t>
      </w:r>
      <w:r>
        <w:t xml:space="preserve"> </w:t>
      </w:r>
      <w:r>
        <w:t xml:space="preserve">characterize these issues as merely transitory in every business; its message was that 2026 is a reset-and-stabilize year, with cleaner underlying earnings power expected after the first-half headwinds cycle.</w:t>
      </w:r>
    </w:p>
    <w:p>
      <w:r>
        <w:pict>
          <v:rect style="width:0;height:1.5pt" o:hralign="center" o:hrstd="t" o:hr="t"/>
        </w:pict>
      </w:r>
    </w:p>
    <w:bookmarkEnd w:id="12"/>
    <w:bookmarkStart w:id="13" w:name="Xe3bfbfe0887c8084aa3e95ca279bb3f4eb68cd4"/>
    <w:p>
      <w:pPr>
        <w:pStyle w:val="Heading2"/>
      </w:pPr>
      <w:r>
        <w:t xml:space="preserve">The five items that matter most on the call</w:t>
      </w:r>
    </w:p>
    <w:bookmarkEnd w:id="13"/>
    <w:bookmarkStart w:id="14" w:name="Xbf7ea81c2f8e9a6995c55cffd8a262cc9968de0"/>
    <w:p>
      <w:pPr>
        <w:pStyle w:val="Heading2"/>
      </w:pPr>
      <w:r>
        <w:t xml:space="preserve">1. Can Baxter still deliver the sharp second-half margin step-up?</w:t>
      </w:r>
    </w:p>
    <w:p>
      <w:pPr>
        <w:pStyle w:val="FirstParagraph"/>
      </w:pPr>
      <w:r>
        <w:t xml:space="preserve">This is the central issue.</w:t>
      </w:r>
    </w:p>
    <w:p>
      <w:pPr>
        <w:pStyle w:val="BodyText"/>
      </w:pPr>
      <w:r>
        <w:t xml:space="preserve">Management indicated that 2Q should bear a larger portion of the manufacturing-variance burden—roughly</w:t>
      </w:r>
      <w:r>
        <w:t xml:space="preserve"> </w:t>
      </w:r>
      <w:r>
        <w:rPr>
          <w:b/>
          <w:bCs/>
        </w:rPr>
        <w:t xml:space="preserve">more than $50 million incremental to 1Q’s approximately $20 million</w:t>
      </w:r>
      <w:r>
        <w:t xml:space="preserve">—yet still produce earnings similar to 1Q. Investors will want confirmation that these costs are now substantially captured and that the implied second-half margin recovery is still intact.</w:t>
      </w:r>
    </w:p>
    <w:p>
      <w:pPr>
        <w:pStyle w:val="BodyText"/>
      </w:pPr>
      <w:r>
        <w:rPr>
          <w:b/>
          <w:bCs/>
        </w:rPr>
        <w:t xml:space="preserve">What would be constructive</w:t>
      </w:r>
    </w:p>
    <w:p>
      <w:pPr>
        <w:pStyle w:val="Compact"/>
        <w:numPr>
          <w:ilvl w:val="0"/>
          <w:numId w:val="1003"/>
        </w:numPr>
      </w:pPr>
      <w:r>
        <w:t xml:space="preserve">Reaffirmed adjusted EPS guidance, ideally with more confidence around the midpoint.</w:t>
      </w:r>
    </w:p>
    <w:p>
      <w:pPr>
        <w:pStyle w:val="Compact"/>
        <w:numPr>
          <w:ilvl w:val="0"/>
          <w:numId w:val="1003"/>
        </w:numPr>
      </w:pPr>
      <w:r>
        <w:t xml:space="preserve">Specific confirmation that excess manufacturing-cost inventory, tariff effects, and under-absorption are mostly first-half issues.</w:t>
      </w:r>
    </w:p>
    <w:p>
      <w:pPr>
        <w:pStyle w:val="Compact"/>
        <w:numPr>
          <w:ilvl w:val="0"/>
          <w:numId w:val="1003"/>
        </w:numPr>
      </w:pPr>
      <w:r>
        <w:t xml:space="preserve">Evidence that restructuring and Baxter Growth and Performance System initiatives are translating to measurable cost and productivity benefits.</w:t>
      </w:r>
    </w:p>
    <w:p>
      <w:pPr>
        <w:pStyle w:val="FirstParagraph"/>
      </w:pPr>
      <w:r>
        <w:rPr>
          <w:b/>
          <w:bCs/>
        </w:rPr>
        <w:t xml:space="preserve">What would concern investors</w:t>
      </w:r>
    </w:p>
    <w:p>
      <w:pPr>
        <w:pStyle w:val="Compact"/>
        <w:numPr>
          <w:ilvl w:val="0"/>
          <w:numId w:val="1004"/>
        </w:numPr>
      </w:pPr>
      <w:r>
        <w:t xml:space="preserve">A guidance range maintained only through a heavier back-end weighting.</w:t>
      </w:r>
    </w:p>
    <w:p>
      <w:pPr>
        <w:pStyle w:val="Compact"/>
        <w:numPr>
          <w:ilvl w:val="0"/>
          <w:numId w:val="1004"/>
        </w:numPr>
      </w:pPr>
      <w:r>
        <w:t xml:space="preserve">New manufacturing, supply-chain, tariff, or pricing headwinds.</w:t>
      </w:r>
    </w:p>
    <w:p>
      <w:pPr>
        <w:pStyle w:val="Compact"/>
        <w:numPr>
          <w:ilvl w:val="0"/>
          <w:numId w:val="1004"/>
        </w:numPr>
      </w:pPr>
      <w:r>
        <w:t xml:space="preserve">A weaker-than-expected gross-margin trajectory or vague commentary around 2H execution.</w:t>
      </w:r>
    </w:p>
    <w:p>
      <w:r>
        <w:pict>
          <v:rect style="width:0;height:1.5pt" o:hralign="center" o:hrstd="t" o:hr="t"/>
        </w:pict>
      </w:r>
    </w:p>
    <w:bookmarkEnd w:id="14"/>
    <w:bookmarkStart w:id="15" w:name="X4904f795d5da1dab8109443dac63ee510417ade"/>
    <w:p>
      <w:pPr>
        <w:pStyle w:val="Heading2"/>
      </w:pPr>
      <w:r>
        <w:t xml:space="preserve">2. Is core organic revenue stabilizing?</w:t>
      </w:r>
    </w:p>
    <w:p>
      <w:pPr>
        <w:pStyle w:val="FirstParagraph"/>
      </w:pPr>
      <w:r>
        <w:t xml:space="preserve">The 1Q organic decline was broad enough to matter: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1Q26 business trend</w:t>
            </w:r>
          </w:p>
        </w:tc>
        <w:tc>
          <w:tcPr/>
          <w:p>
            <w:pPr>
              <w:pStyle w:val="Compact"/>
              <w:jc w:val="right"/>
            </w:pPr>
            <w:r>
              <w:t xml:space="preserve">Organic growth</w:t>
            </w:r>
          </w:p>
        </w:tc>
      </w:tr>
      <w:tr>
        <w:tc>
          <w:tcPr/>
          <w:p>
            <w:pPr>
              <w:pStyle w:val="Compact"/>
            </w:pPr>
            <w:r>
              <w:t xml:space="preserve">Infusion Therapies &amp; Technologies</w:t>
            </w:r>
          </w:p>
        </w:tc>
        <w:tc>
          <w:tcPr/>
          <w:p>
            <w:pPr>
              <w:pStyle w:val="Compact"/>
              <w:jc w:val="right"/>
            </w:pPr>
            <w:r>
              <w:t xml:space="preserve">-5%</w:t>
            </w:r>
          </w:p>
        </w:tc>
      </w:tr>
      <w:tr>
        <w:tc>
          <w:tcPr/>
          <w:p>
            <w:pPr>
              <w:pStyle w:val="Compact"/>
            </w:pPr>
            <w:r>
              <w:t xml:space="preserve">Advanced Surgery</w:t>
            </w:r>
          </w:p>
        </w:tc>
        <w:tc>
          <w:tcPr/>
          <w:p>
            <w:pPr>
              <w:pStyle w:val="Compact"/>
              <w:jc w:val="right"/>
            </w:pPr>
            <w:r>
              <w:t xml:space="preserve">+10%</w:t>
            </w:r>
          </w:p>
        </w:tc>
      </w:tr>
      <w:tr>
        <w:tc>
          <w:tcPr/>
          <w:p>
            <w:pPr>
              <w:pStyle w:val="Compact"/>
            </w:pPr>
            <w:r>
              <w:t xml:space="preserve">Healthcare Systems &amp; Technologies</w:t>
            </w:r>
          </w:p>
        </w:tc>
        <w:tc>
          <w:tcPr/>
          <w:p>
            <w:pPr>
              <w:pStyle w:val="Compact"/>
              <w:jc w:val="right"/>
            </w:pPr>
            <w:r>
              <w:t xml:space="preserve">-2%</w:t>
            </w:r>
          </w:p>
        </w:tc>
      </w:tr>
      <w:tr>
        <w:tc>
          <w:tcPr/>
          <w:p>
            <w:pPr>
              <w:pStyle w:val="Compact"/>
            </w:pPr>
            <w:r>
              <w:t xml:space="preserve">Injectables &amp; Anesthesia</w:t>
            </w:r>
          </w:p>
        </w:tc>
        <w:tc>
          <w:tcPr/>
          <w:p>
            <w:pPr>
              <w:pStyle w:val="Compact"/>
              <w:jc w:val="right"/>
            </w:pPr>
            <w:r>
              <w:t xml:space="preserve">-13%</w:t>
            </w:r>
          </w:p>
        </w:tc>
      </w:tr>
      <w:tr>
        <w:tc>
          <w:tcPr/>
          <w:p>
            <w:pPr>
              <w:pStyle w:val="Compact"/>
            </w:pPr>
            <w:r>
              <w:t xml:space="preserve">Drug Compounding</w:t>
            </w:r>
          </w:p>
        </w:tc>
        <w:tc>
          <w:tcPr/>
          <w:p>
            <w:pPr>
              <w:pStyle w:val="Compact"/>
              <w:jc w:val="right"/>
            </w:pPr>
            <w:r>
              <w:t xml:space="preserve">+20%</w:t>
            </w:r>
          </w:p>
        </w:tc>
      </w:tr>
      <w:tr>
        <w:tc>
          <w:tcPr/>
          <w:p>
            <w:pPr>
              <w:pStyle w:val="Compact"/>
            </w:pPr>
            <w:r>
              <w:t xml:space="preserve">Total Baxter</w:t>
            </w:r>
          </w:p>
        </w:tc>
        <w:tc>
          <w:tcPr/>
          <w:p>
            <w:pPr>
              <w:pStyle w:val="Compact"/>
              <w:jc w:val="right"/>
            </w:pPr>
            <w:r>
              <w:t xml:space="preserve">-1%</w:t>
            </w:r>
          </w:p>
        </w:tc>
      </w:tr>
    </w:tbl>
    <w:p>
      <w:pPr>
        <w:pStyle w:val="BodyText"/>
      </w:pPr>
      <w:r>
        <w:t xml:space="preserve">Baxter does not need to produce high growth to support its 2026 thesis. It does need to show that the company is moving from</w:t>
      </w:r>
      <w:r>
        <w:t xml:space="preserve"> </w:t>
      </w:r>
      <w:r>
        <w:rPr>
          <w:b/>
          <w:bCs/>
        </w:rPr>
        <w:t xml:space="preserve">declining organic revenue toward stability</w:t>
      </w:r>
      <w:r>
        <w:t xml:space="preserve">, consistent with its full-year outlook.</w:t>
      </w:r>
    </w:p>
    <w:p>
      <w:pPr>
        <w:pStyle w:val="BodyText"/>
      </w:pPr>
      <w:r>
        <w:t xml:space="preserve">The most useful signal would be a sequential improvement in the company-wide organic-growth trend, supported by better performance in Infusion Therapies and Injectables &amp; Anesthesia rather than solely continued strength in Drug Compounding and Advanced Surgery.</w:t>
      </w:r>
    </w:p>
    <w:p>
      <w:r>
        <w:pict>
          <v:rect style="width:0;height:1.5pt" o:hralign="center" o:hrstd="t" o:hr="t"/>
        </w:pict>
      </w:r>
    </w:p>
    <w:bookmarkEnd w:id="15"/>
    <w:bookmarkStart w:id="16" w:name="Xb854f403c49a8536bee8e2f5da33a0346b6975a"/>
    <w:p>
      <w:pPr>
        <w:pStyle w:val="Heading2"/>
      </w:pPr>
      <w:r>
        <w:t xml:space="preserve">3. IV utilization and infusion: has the new baseline bottomed?</w:t>
      </w:r>
    </w:p>
    <w:p>
      <w:pPr>
        <w:pStyle w:val="FirstParagraph"/>
      </w:pPr>
      <w:r>
        <w:t xml:space="preserve">Baxter’s IV-fluid business is a major determinant of the recovery path. Management has concluded that hospital IV-conservation behavior is a</w:t>
      </w:r>
      <w:r>
        <w:t xml:space="preserve"> </w:t>
      </w:r>
      <w:r>
        <w:rPr>
          <w:b/>
          <w:bCs/>
        </w:rPr>
        <w:t xml:space="preserve">structural “new normal,”</w:t>
      </w:r>
      <w:r>
        <w:t xml:space="preserve"> </w:t>
      </w:r>
      <w:r>
        <w:t xml:space="preserve">rather than something that will fully reverse. The strategic response has been to resize the business for lower utilization and seek a return to low-single-digit growth over time.</w:t>
      </w:r>
    </w:p>
    <w:p>
      <w:pPr>
        <w:pStyle w:val="BodyText"/>
      </w:pPr>
      <w:r>
        <w:t xml:space="preserve">For 2Q, the questions are:</w:t>
      </w:r>
    </w:p>
    <w:p>
      <w:pPr>
        <w:pStyle w:val="Compact"/>
        <w:numPr>
          <w:ilvl w:val="0"/>
          <w:numId w:val="1005"/>
        </w:numPr>
      </w:pPr>
      <w:r>
        <w:t xml:space="preserve">Are IV volumes and customer inventories behaving as expected?</w:t>
      </w:r>
    </w:p>
    <w:p>
      <w:pPr>
        <w:pStyle w:val="Compact"/>
        <w:numPr>
          <w:ilvl w:val="0"/>
          <w:numId w:val="1005"/>
        </w:numPr>
      </w:pPr>
      <w:r>
        <w:t xml:space="preserve">Is the anticipated second-half normalization still on track?</w:t>
      </w:r>
    </w:p>
    <w:p>
      <w:pPr>
        <w:pStyle w:val="Compact"/>
        <w:numPr>
          <w:ilvl w:val="0"/>
          <w:numId w:val="1005"/>
        </w:numPr>
      </w:pPr>
      <w:r>
        <w:t xml:space="preserve">Are pricing, mix, and factory utilization improving enough to support the margin bridge?</w:t>
      </w:r>
    </w:p>
    <w:p>
      <w:pPr>
        <w:pStyle w:val="FirstParagraph"/>
      </w:pPr>
      <w:r>
        <w:t xml:space="preserve">A clean message that the IV business has stabilized—even if growth remains muted—would be important. Another downward reset to utilization or customer ordering patterns would pressure both the revenue and margin outlook.</w:t>
      </w:r>
    </w:p>
    <w:p>
      <w:r>
        <w:pict>
          <v:rect style="width:0;height:1.5pt" o:hralign="center" o:hrstd="t" o:hr="t"/>
        </w:pict>
      </w:r>
    </w:p>
    <w:bookmarkEnd w:id="16"/>
    <w:bookmarkStart w:id="19" w:name="Xea2371822e39a2035dfe010e9a0c4a92581daea"/>
    <w:p>
      <w:pPr>
        <w:pStyle w:val="Heading2"/>
      </w:pPr>
      <w:r>
        <w:t xml:space="preserve">4. Novum IQ and Injectables: are the operational fixes working?</w:t>
      </w:r>
    </w:p>
    <w:bookmarkStart w:id="17" w:name="novum-iq-large-volume-pump"/>
    <w:p>
      <w:pPr>
        <w:pStyle w:val="Heading3"/>
      </w:pPr>
      <w:r>
        <w:t xml:space="preserve">Novum IQ large-volume pump</w:t>
      </w:r>
    </w:p>
    <w:p>
      <w:pPr>
        <w:pStyle w:val="FirstParagraph"/>
      </w:pPr>
      <w:r>
        <w:t xml:space="preserve">The Novum IQ shipment and installation hold in the U.S. and Canada remains a meaningful overhang. Baxter expects</w:t>
      </w:r>
      <w:r>
        <w:t xml:space="preserve"> </w:t>
      </w:r>
      <w:r>
        <w:rPr>
          <w:b/>
          <w:bCs/>
        </w:rPr>
        <w:t xml:space="preserve">no meaningful Novum sales while the hold is in place</w:t>
      </w:r>
      <w:r>
        <w:t xml:space="preserve">, with Spectrum IQ available as an alternative.</w:t>
      </w:r>
    </w:p>
    <w:p>
      <w:pPr>
        <w:pStyle w:val="BodyText"/>
      </w:pPr>
      <w:r>
        <w:t xml:space="preserve">Investors should watch for:</w:t>
      </w:r>
    </w:p>
    <w:p>
      <w:pPr>
        <w:pStyle w:val="Compact"/>
        <w:numPr>
          <w:ilvl w:val="0"/>
          <w:numId w:val="1006"/>
        </w:numPr>
      </w:pPr>
      <w:r>
        <w:t xml:space="preserve">any update on the timing and requirements for restarting broader Novum distribution and installation;</w:t>
      </w:r>
    </w:p>
    <w:p>
      <w:pPr>
        <w:pStyle w:val="Compact"/>
        <w:numPr>
          <w:ilvl w:val="0"/>
          <w:numId w:val="1006"/>
        </w:numPr>
      </w:pPr>
      <w:r>
        <w:t xml:space="preserve">further remediation costs, return/exchange activity, or reserve adjustments;</w:t>
      </w:r>
    </w:p>
    <w:p>
      <w:pPr>
        <w:pStyle w:val="Compact"/>
        <w:numPr>
          <w:ilvl w:val="0"/>
          <w:numId w:val="1006"/>
        </w:numPr>
      </w:pPr>
      <w:r>
        <w:t xml:space="preserve">signs of customer disruption or share loss in infusion pumps.</w:t>
      </w:r>
    </w:p>
    <w:bookmarkEnd w:id="17"/>
    <w:bookmarkStart w:id="18" w:name="injectables--anesthesia"/>
    <w:p>
      <w:pPr>
        <w:pStyle w:val="Heading3"/>
      </w:pPr>
      <w:r>
        <w:t xml:space="preserve">Injectables &amp; Anesthesia</w:t>
      </w:r>
    </w:p>
    <w:p>
      <w:pPr>
        <w:pStyle w:val="FirstParagraph"/>
      </w:pPr>
      <w:r>
        <w:t xml:space="preserve">Injectables &amp; Anesthesia fell</w:t>
      </w:r>
      <w:r>
        <w:t xml:space="preserve"> </w:t>
      </w:r>
      <w:r>
        <w:rPr>
          <w:b/>
          <w:bCs/>
        </w:rPr>
        <w:t xml:space="preserve">13% organically in 1Q</w:t>
      </w:r>
      <w:r>
        <w:t xml:space="preserve">, driven by supply constraints, weaker premix demand, and softer global anesthesia demand. The business is now part of Baxter’s newly structured</w:t>
      </w:r>
      <w:r>
        <w:t xml:space="preserve"> </w:t>
      </w:r>
      <w:r>
        <w:rPr>
          <w:b/>
          <w:bCs/>
        </w:rPr>
        <w:t xml:space="preserve">Infusion Therapies &amp; Platforms</w:t>
      </w:r>
      <w:r>
        <w:t xml:space="preserve"> </w:t>
      </w:r>
      <w:r>
        <w:t xml:space="preserve">division.</w:t>
      </w:r>
    </w:p>
    <w:p>
      <w:pPr>
        <w:pStyle w:val="BodyText"/>
      </w:pPr>
      <w:r>
        <w:t xml:space="preserve">There are reasons for cautious optimism: Baxter cited early operational improvement at a challenged manufacturing site and said its Ahmedabad facility is again available as an option for new product activity. But execution—not regulatory status alone—will determine whether supply availability, product launches, and mix can improve.</w:t>
      </w:r>
    </w:p>
    <w:p>
      <w:r>
        <w:pict>
          <v:rect style="width:0;height:1.5pt" o:hralign="center" o:hrstd="t" o:hr="t"/>
        </w:pict>
      </w:r>
    </w:p>
    <w:bookmarkEnd w:id="18"/>
    <w:bookmarkEnd w:id="19"/>
    <w:bookmarkStart w:id="20" w:name="X5eb1b85c113057bd223d25a1a833c1d6867faa0"/>
    <w:p>
      <w:pPr>
        <w:pStyle w:val="Heading2"/>
      </w:pPr>
      <w:r>
        <w:t xml:space="preserve">5. Does the balance-sheet and 2027 setup remain credible?</w:t>
      </w:r>
    </w:p>
    <w:p>
      <w:pPr>
        <w:pStyle w:val="FirstParagraph"/>
      </w:pPr>
      <w:r>
        <w:t xml:space="preserve">At March 31, Baxter had approximately:</w:t>
      </w:r>
    </w:p>
    <w:p>
      <w:pPr>
        <w:pStyle w:val="Compact"/>
        <w:numPr>
          <w:ilvl w:val="0"/>
          <w:numId w:val="1007"/>
        </w:numPr>
      </w:pPr>
      <w:r>
        <w:rPr>
          <w:b/>
          <w:bCs/>
        </w:rPr>
        <w:t xml:space="preserve">$2.0 billion of cash</w:t>
      </w:r>
    </w:p>
    <w:p>
      <w:pPr>
        <w:pStyle w:val="Compact"/>
        <w:numPr>
          <w:ilvl w:val="0"/>
          <w:numId w:val="1007"/>
        </w:numPr>
      </w:pPr>
      <w:r>
        <w:rPr>
          <w:b/>
          <w:bCs/>
        </w:rPr>
        <w:t xml:space="preserve">$9.5 billion of debt and finance leases</w:t>
      </w:r>
      <w:r>
        <w:t xml:space="preserve">, including current maturities</w:t>
      </w:r>
    </w:p>
    <w:p>
      <w:pPr>
        <w:pStyle w:val="Compact"/>
        <w:numPr>
          <w:ilvl w:val="0"/>
          <w:numId w:val="1007"/>
        </w:numPr>
      </w:pPr>
      <w:r>
        <w:t xml:space="preserve">approximately</w:t>
      </w:r>
      <w:r>
        <w:t xml:space="preserve"> </w:t>
      </w:r>
      <w:r>
        <w:rPr>
          <w:b/>
          <w:bCs/>
        </w:rPr>
        <w:t xml:space="preserve">$7.4 billion of net debt</w:t>
      </w:r>
      <w:r>
        <w:t xml:space="preserve"> </w:t>
      </w:r>
      <w:r>
        <w:t xml:space="preserve">on a simple cash-less-debt basis</w:t>
      </w:r>
    </w:p>
    <w:p>
      <w:pPr>
        <w:pStyle w:val="FirstParagraph"/>
      </w:pPr>
      <w:r>
        <w:t xml:space="preserve">Management is targeting leverage of approximately</w:t>
      </w:r>
      <w:r>
        <w:t xml:space="preserve"> </w:t>
      </w:r>
      <w:r>
        <w:rPr>
          <w:b/>
          <w:bCs/>
        </w:rPr>
        <w:t xml:space="preserve">3x by year-end 2026</w:t>
      </w:r>
      <w:r>
        <w:t xml:space="preserve">. This remains strategically important because it is the prerequisite to greater flexibility for internal investment, M&amp;A, buybacks, or eventually a more meaningful shareholder-return policy.</w:t>
      </w:r>
    </w:p>
    <w:p>
      <w:pPr>
        <w:pStyle w:val="BodyText"/>
      </w:pPr>
      <w:r>
        <w:t xml:space="preserve">The company cut its quarterly dividend to</w:t>
      </w:r>
      <w:r>
        <w:t xml:space="preserve"> </w:t>
      </w:r>
      <m:oMath>
        <m:r>
          <m:t>0.01</m:t>
        </m:r>
        <m:r>
          <m:t>p</m:t>
        </m:r>
        <m:r>
          <m:t>e</m:t>
        </m:r>
        <m:r>
          <m:t>r</m:t>
        </m:r>
        <m:r>
          <m:t>s</m:t>
        </m:r>
        <m:r>
          <m:t>h</m:t>
        </m:r>
        <m:r>
          <m:t>a</m:t>
        </m:r>
        <m:r>
          <m:t>r</m:t>
        </m:r>
        <m:r>
          <m:t>e</m:t>
        </m:r>
        <m:r>
          <m:rPr>
            <m:sty m:val="p"/>
          </m:rPr>
          <m:t>*</m:t>
        </m:r>
        <m:r>
          <m:rPr>
            <m:sty m:val="p"/>
          </m:rPr>
          <m:t>*</m:t>
        </m:r>
        <m:r>
          <m:rPr>
            <m:sty m:val="p"/>
          </m:rPr>
          <m:t>,</m:t>
        </m:r>
        <m:r>
          <m:t>u</m:t>
        </m:r>
        <m:r>
          <m:t>n</m:t>
        </m:r>
        <m:r>
          <m:t>d</m:t>
        </m:r>
        <m:r>
          <m:t>e</m:t>
        </m:r>
        <m:r>
          <m:t>r</m:t>
        </m:r>
        <m:r>
          <m:t>s</m:t>
        </m:r>
        <m:r>
          <m:t>c</m:t>
        </m:r>
        <m:r>
          <m:t>o</m:t>
        </m:r>
        <m:r>
          <m:t>r</m:t>
        </m:r>
        <m:r>
          <m:t>i</m:t>
        </m:r>
        <m:r>
          <m:t>n</m:t>
        </m:r>
        <m:r>
          <m:t>g</m:t>
        </m:r>
        <m:r>
          <m:t>t</m:t>
        </m:r>
        <m:r>
          <m:t>h</m:t>
        </m:r>
        <m:r>
          <m:t>a</m:t>
        </m:r>
        <m:r>
          <m:t>t</m:t>
        </m:r>
        <m:r>
          <m:t>d</m:t>
        </m:r>
        <m:r>
          <m:t>e</m:t>
        </m:r>
        <m:r>
          <m:t>l</m:t>
        </m:r>
        <m:r>
          <m:t>e</m:t>
        </m:r>
        <m:r>
          <m:t>v</m:t>
        </m:r>
        <m:r>
          <m:t>e</m:t>
        </m:r>
        <m:r>
          <m:t>r</m:t>
        </m:r>
        <m:r>
          <m:t>a</m:t>
        </m:r>
        <m:r>
          <m:t>g</m:t>
        </m:r>
        <m:r>
          <m:t>i</m:t>
        </m:r>
        <m:r>
          <m:t>n</m:t>
        </m:r>
        <m:r>
          <m:t>g</m:t>
        </m:r>
        <m:r>
          <m:t>c</m:t>
        </m:r>
        <m:r>
          <m:t>o</m:t>
        </m:r>
        <m:r>
          <m:t>m</m:t>
        </m:r>
        <m:r>
          <m:t>e</m:t>
        </m:r>
        <m:r>
          <m:t>s</m:t>
        </m:r>
        <m:r>
          <m:t>f</m:t>
        </m:r>
        <m:r>
          <m:t>i</m:t>
        </m:r>
        <m:r>
          <m:t>r</m:t>
        </m:r>
        <m:r>
          <m:t>s</m:t>
        </m:r>
        <m:r>
          <m:t>t</m:t>
        </m:r>
        <m:r>
          <m:rPr>
            <m:sty m:val="p"/>
          </m:rPr>
          <m:t>.</m:t>
        </m:r>
        <m:r>
          <m:t>M</m:t>
        </m:r>
        <m:r>
          <m:t>a</m:t>
        </m:r>
        <m:r>
          <m:t>n</m:t>
        </m:r>
        <m:r>
          <m:t>a</m:t>
        </m:r>
        <m:r>
          <m:t>g</m:t>
        </m:r>
        <m:r>
          <m:t>e</m:t>
        </m:r>
        <m:r>
          <m:t>m</m:t>
        </m:r>
        <m:r>
          <m:t>e</m:t>
        </m:r>
        <m:r>
          <m:t>n</m:t>
        </m:r>
        <m:r>
          <m:t>t</m:t>
        </m:r>
        <m:r>
          <m:t>a</m:t>
        </m:r>
        <m:r>
          <m:t>l</m:t>
        </m:r>
        <m:r>
          <m:t>s</m:t>
        </m:r>
        <m:r>
          <m:t>o</m:t>
        </m:r>
        <m:r>
          <m:t>e</m:t>
        </m:r>
        <m:r>
          <m:t>x</m:t>
        </m:r>
        <m:r>
          <m:t>p</m:t>
        </m:r>
        <m:r>
          <m:t>e</m:t>
        </m:r>
        <m:r>
          <m:t>c</m:t>
        </m:r>
        <m:r>
          <m:t>t</m:t>
        </m:r>
        <m:r>
          <m:t>s</m:t>
        </m:r>
        <m:r>
          <m:rPr>
            <m:sty m:val="p"/>
          </m:rPr>
          <m:t>*</m:t>
        </m:r>
        <m:r>
          <m:rPr>
            <m:sty m:val="p"/>
          </m:rPr>
          <m:t>*</m:t>
        </m:r>
      </m:oMath>
      <w:r>
        <w:rPr>
          <w:b/>
          <w:bCs/>
        </w:rPr>
        <w:t xml:space="preserve">130 million–</w:t>
      </w:r>
      <m:oMath>
        <m:r>
          <m:t>140</m:t>
        </m:r>
        <m:r>
          <m:t>m</m:t>
        </m:r>
        <m:r>
          <m:t>i</m:t>
        </m:r>
        <m:r>
          <m:t>l</m:t>
        </m:r>
        <m:r>
          <m:t>l</m:t>
        </m:r>
        <m:r>
          <m:t>i</m:t>
        </m:r>
        <m:r>
          <m:t>o</m:t>
        </m:r>
        <m:r>
          <m:t>n</m:t>
        </m:r>
        <m:r>
          <m:t>o</m:t>
        </m:r>
        <m:r>
          <m:t>f</m:t>
        </m:r>
        <m:r>
          <m:t>2026</m:t>
        </m:r>
        <m:r>
          <m:t>T</m:t>
        </m:r>
        <m:r>
          <m:t>S</m:t>
        </m:r>
        <m:r>
          <m:t>A</m:t>
        </m:r>
        <m:r>
          <m:t>i</m:t>
        </m:r>
        <m:r>
          <m:t>n</m:t>
        </m:r>
        <m:r>
          <m:t>c</m:t>
        </m:r>
        <m:r>
          <m:t>o</m:t>
        </m:r>
        <m:r>
          <m:t>m</m:t>
        </m:r>
        <m:r>
          <m:t>e</m:t>
        </m:r>
        <m:r>
          <m:rPr>
            <m:sty m:val="p"/>
          </m:rPr>
          <m:t>*</m:t>
        </m:r>
        <m:r>
          <m:rPr>
            <m:sty m:val="p"/>
          </m:rPr>
          <m:t>*</m:t>
        </m:r>
        <m:r>
          <m:t>r</m:t>
        </m:r>
        <m:r>
          <m:t>e</m:t>
        </m:r>
        <m:r>
          <m:t>l</m:t>
        </m:r>
        <m:r>
          <m:t>a</m:t>
        </m:r>
        <m:r>
          <m:t>t</m:t>
        </m:r>
        <m:r>
          <m:t>e</m:t>
        </m:r>
        <m:r>
          <m:t>d</m:t>
        </m:r>
        <m:r>
          <m:t>t</m:t>
        </m:r>
        <m:r>
          <m:t>o</m:t>
        </m:r>
        <m:r>
          <m:t>V</m:t>
        </m:r>
        <m:r>
          <m:t>a</m:t>
        </m:r>
        <m:r>
          <m:t>n</m:t>
        </m:r>
        <m:r>
          <m:t>t</m:t>
        </m:r>
        <m:r>
          <m:t>i</m:t>
        </m:r>
        <m:r>
          <m:t>v</m:t>
        </m:r>
        <m:r>
          <m:t>e</m:t>
        </m:r>
        <m:r>
          <m:rPr>
            <m:sty m:val="p"/>
          </m:rPr>
          <m:t>,</m:t>
        </m:r>
        <m:r>
          <m:t>w</m:t>
        </m:r>
        <m:r>
          <m:t>i</m:t>
        </m:r>
        <m:r>
          <m:t>t</m:t>
        </m:r>
        <m:r>
          <m:t>h</m:t>
        </m:r>
        <m:r>
          <m:t>a</m:t>
        </m:r>
        <m:r>
          <m:t>c</m:t>
        </m:r>
        <m:r>
          <m:t>i</m:t>
        </m:r>
        <m:r>
          <m:t>t</m:t>
        </m:r>
        <m:r>
          <m:t>e</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0.14 EPS headwind in 2027</w:t>
      </w:r>
      <w:r>
        <w:t xml:space="preserve"> </w:t>
      </w:r>
      <w:r>
        <w:t xml:space="preserve">as that income rolls off. The investor debate is whether cost actions and operational improvement can more than offset that headwind.</w:t>
      </w:r>
    </w:p>
    <w:p>
      <w:r>
        <w:pict>
          <v:rect style="width:0;height:1.5pt" o:hralign="center" o:hrstd="t" o:hr="t"/>
        </w:pict>
      </w:r>
    </w:p>
    <w:bookmarkEnd w:id="20"/>
    <w:bookmarkStart w:id="21" w:name="X1ad945148ed36e70d290aea49236eebe9b2fc9f"/>
    <w:p>
      <w:pPr>
        <w:pStyle w:val="Heading2"/>
      </w:pPr>
      <w:r>
        <w:t xml:space="preserve">Reporting change: expect a different segment presentation</w:t>
      </w:r>
    </w:p>
    <w:p>
      <w:pPr>
        <w:pStyle w:val="FirstParagraph"/>
      </w:pPr>
      <w:r>
        <w:t xml:space="preserve">Starting in 2Q26, Baxter will report only two segments:</w:t>
      </w:r>
    </w:p>
    <w:p>
      <w:pPr>
        <w:numPr>
          <w:ilvl w:val="0"/>
          <w:numId w:val="1008"/>
        </w:numPr>
      </w:pPr>
      <w:r>
        <w:rPr>
          <w:b/>
          <w:bCs/>
        </w:rPr>
        <w:t xml:space="preserve">Medical Products &amp; Therapies (MPT)</w:t>
      </w:r>
    </w:p>
    <w:p>
      <w:pPr>
        <w:pStyle w:val="Compact"/>
        <w:numPr>
          <w:ilvl w:val="1"/>
          <w:numId w:val="1009"/>
        </w:numPr>
      </w:pPr>
      <w:r>
        <w:t xml:space="preserve">Includes Infusion Therapies &amp; Platforms and Advanced Surgery.</w:t>
      </w:r>
    </w:p>
    <w:p>
      <w:pPr>
        <w:pStyle w:val="Compact"/>
        <w:numPr>
          <w:ilvl w:val="1"/>
          <w:numId w:val="1009"/>
        </w:numPr>
      </w:pPr>
      <w:r>
        <w:t xml:space="preserve">The former Pharmaceuticals segment is now included within Infusion Therapies &amp; Platforms.</w:t>
      </w:r>
    </w:p>
    <w:p>
      <w:pPr>
        <w:numPr>
          <w:ilvl w:val="0"/>
          <w:numId w:val="1008"/>
        </w:numPr>
      </w:pPr>
      <w:r>
        <w:rPr>
          <w:b/>
          <w:bCs/>
        </w:rPr>
        <w:t xml:space="preserve">Healthcare Systems &amp; Technologies (HST)</w:t>
      </w:r>
    </w:p>
    <w:p>
      <w:pPr>
        <w:pStyle w:val="Compact"/>
        <w:numPr>
          <w:ilvl w:val="1"/>
          <w:numId w:val="1010"/>
        </w:numPr>
      </w:pPr>
      <w:r>
        <w:t xml:space="preserve">Includes Front Line Care and Care &amp; Connectivity Solutions.</w:t>
      </w:r>
    </w:p>
    <w:p>
      <w:pPr>
        <w:pStyle w:val="FirstParagraph"/>
      </w:pPr>
      <w:r>
        <w:t xml:space="preserve">This is more than a cosmetic change. Investors should be careful comparing new segment margins and sales trends against the prior three-segment structure. Baxter furnished recast historical information on July 14, but the 2Q release will be the first earnings report under the new framework.</w:t>
      </w:r>
    </w:p>
    <w:p>
      <w:r>
        <w:pict>
          <v:rect style="width:0;height:1.5pt" o:hralign="center" o:hrstd="t" o:hr="t"/>
        </w:pict>
      </w:r>
    </w:p>
    <w:bookmarkEnd w:id="21"/>
    <w:bookmarkStart w:id="22" w:name="earnings-preview-scorecard"/>
    <w:p>
      <w:pPr>
        <w:pStyle w:val="Heading2"/>
      </w:pPr>
      <w:r>
        <w:t xml:space="preserve">Earnings-preview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Topic</w:t>
            </w:r>
          </w:p>
        </w:tc>
        <w:tc>
          <w:tcPr/>
          <w:p>
            <w:pPr>
              <w:pStyle w:val="Compact"/>
            </w:pPr>
            <w:r>
              <w:t xml:space="preserve">What investors want to hear</w:t>
            </w:r>
          </w:p>
        </w:tc>
        <w:tc>
          <w:tcPr/>
          <w:p>
            <w:pPr>
              <w:pStyle w:val="Compact"/>
            </w:pPr>
            <w:r>
              <w:t xml:space="preserve">Potential negative surprise</w:t>
            </w:r>
          </w:p>
        </w:tc>
      </w:tr>
      <w:tr>
        <w:tc>
          <w:tcPr/>
          <w:p>
            <w:pPr>
              <w:pStyle w:val="Compact"/>
            </w:pPr>
            <w:r>
              <w:t xml:space="preserve">FY26 EPS outlook</w:t>
            </w:r>
          </w:p>
        </w:tc>
        <w:tc>
          <w:tcPr/>
          <w:p>
            <w:pPr>
              <w:pStyle w:val="Compact"/>
            </w:pPr>
            <w:r>
              <w:t xml:space="preserve">Reaffirmed, with confidence in midpoint</w:t>
            </w:r>
          </w:p>
        </w:tc>
        <w:tc>
          <w:tcPr/>
          <w:p>
            <w:pPr>
              <w:pStyle w:val="Compact"/>
            </w:pPr>
            <w:r>
              <w:t xml:space="preserve">Guidance cut or more pronounced 2H weighting</w:t>
            </w:r>
          </w:p>
        </w:tc>
      </w:tr>
      <w:tr>
        <w:tc>
          <w:tcPr/>
          <w:p>
            <w:pPr>
              <w:pStyle w:val="Compact"/>
            </w:pPr>
            <w:r>
              <w:t xml:space="preserve">2H margins</w:t>
            </w:r>
          </w:p>
        </w:tc>
        <w:tc>
          <w:tcPr/>
          <w:p>
            <w:pPr>
              <w:pStyle w:val="Compact"/>
            </w:pPr>
            <w:r>
              <w:t xml:space="preserve">Manufacturing headwinds largely behind BAX</w:t>
            </w:r>
          </w:p>
        </w:tc>
        <w:tc>
          <w:tcPr/>
          <w:p>
            <w:pPr>
              <w:pStyle w:val="Compact"/>
            </w:pPr>
            <w:r>
              <w:t xml:space="preserve">Further cost, tariff, or absorption pressure</w:t>
            </w:r>
          </w:p>
        </w:tc>
      </w:tr>
      <w:tr>
        <w:tc>
          <w:tcPr/>
          <w:p>
            <w:pPr>
              <w:pStyle w:val="Compact"/>
            </w:pPr>
            <w:r>
              <w:t xml:space="preserve">Organic revenue</w:t>
            </w:r>
          </w:p>
        </w:tc>
        <w:tc>
          <w:tcPr/>
          <w:p>
            <w:pPr>
              <w:pStyle w:val="Compact"/>
            </w:pPr>
            <w:r>
              <w:t xml:space="preserve">Sequential stabilization toward flat</w:t>
            </w:r>
          </w:p>
        </w:tc>
        <w:tc>
          <w:tcPr/>
          <w:p>
            <w:pPr>
              <w:pStyle w:val="Compact"/>
            </w:pPr>
            <w:r>
              <w:t xml:space="preserve">Another broad organic decline</w:t>
            </w:r>
          </w:p>
        </w:tc>
      </w:tr>
      <w:tr>
        <w:tc>
          <w:tcPr/>
          <w:p>
            <w:pPr>
              <w:pStyle w:val="Compact"/>
            </w:pPr>
            <w:r>
              <w:t xml:space="preserve">IV/Infusion</w:t>
            </w:r>
          </w:p>
        </w:tc>
        <w:tc>
          <w:tcPr/>
          <w:p>
            <w:pPr>
              <w:pStyle w:val="Compact"/>
            </w:pPr>
            <w:r>
              <w:t xml:space="preserve">New utilization baseline is holding</w:t>
            </w:r>
          </w:p>
        </w:tc>
        <w:tc>
          <w:tcPr/>
          <w:p>
            <w:pPr>
              <w:pStyle w:val="Compact"/>
            </w:pPr>
            <w:r>
              <w:t xml:space="preserve">Renewed inventory or volume deterioration</w:t>
            </w:r>
          </w:p>
        </w:tc>
      </w:tr>
      <w:tr>
        <w:tc>
          <w:tcPr/>
          <w:p>
            <w:pPr>
              <w:pStyle w:val="Compact"/>
            </w:pPr>
            <w:r>
              <w:t xml:space="preserve">Novum IQ</w:t>
            </w:r>
          </w:p>
        </w:tc>
        <w:tc>
          <w:tcPr/>
          <w:p>
            <w:pPr>
              <w:pStyle w:val="Compact"/>
            </w:pPr>
            <w:r>
              <w:t xml:space="preserve">Clearer remediation/restart path</w:t>
            </w:r>
          </w:p>
        </w:tc>
        <w:tc>
          <w:tcPr/>
          <w:p>
            <w:pPr>
              <w:pStyle w:val="Compact"/>
            </w:pPr>
            <w:r>
              <w:t xml:space="preserve">Extended hold, elevated reserves, customer disruption</w:t>
            </w:r>
          </w:p>
        </w:tc>
      </w:tr>
      <w:tr>
        <w:tc>
          <w:tcPr/>
          <w:p>
            <w:pPr>
              <w:pStyle w:val="Compact"/>
            </w:pPr>
            <w:r>
              <w:t xml:space="preserve">Injectables</w:t>
            </w:r>
          </w:p>
        </w:tc>
        <w:tc>
          <w:tcPr/>
          <w:p>
            <w:pPr>
              <w:pStyle w:val="Compact"/>
            </w:pPr>
            <w:r>
              <w:t xml:space="preserve">Supply recovery and improved launch cadence</w:t>
            </w:r>
          </w:p>
        </w:tc>
        <w:tc>
          <w:tcPr/>
          <w:p>
            <w:pPr>
              <w:pStyle w:val="Compact"/>
            </w:pPr>
            <w:r>
              <w:t xml:space="preserve">Ongoing shortages and price/mix erosion</w:t>
            </w:r>
          </w:p>
        </w:tc>
      </w:tr>
      <w:tr>
        <w:tc>
          <w:tcPr/>
          <w:p>
            <w:pPr>
              <w:pStyle w:val="Compact"/>
            </w:pPr>
            <w:r>
              <w:t xml:space="preserve">Cash flow/deleveraging</w:t>
            </w:r>
          </w:p>
        </w:tc>
        <w:tc>
          <w:tcPr/>
          <w:p>
            <w:pPr>
              <w:pStyle w:val="Compact"/>
            </w:pPr>
            <w:r>
              <w:t xml:space="preserve">Progress toward ~3x leverage</w:t>
            </w:r>
          </w:p>
        </w:tc>
        <w:tc>
          <w:tcPr/>
          <w:p>
            <w:pPr>
              <w:pStyle w:val="Compact"/>
            </w:pPr>
            <w:r>
              <w:t xml:space="preserve">Weaker free cash flow or leverage slippage</w:t>
            </w:r>
          </w:p>
        </w:tc>
      </w:tr>
      <w:tr>
        <w:tc>
          <w:tcPr/>
          <w:p>
            <w:pPr>
              <w:pStyle w:val="Compact"/>
            </w:pPr>
            <w:r>
              <w:t xml:space="preserve">2027 setup</w:t>
            </w:r>
          </w:p>
        </w:tc>
        <w:tc>
          <w:tcPr/>
          <w:p>
            <w:pPr>
              <w:pStyle w:val="Compact"/>
            </w:pPr>
            <w:r>
              <w:t xml:space="preserve">Cost actions can offset TSA roll-off</w:t>
            </w:r>
          </w:p>
        </w:tc>
        <w:tc>
          <w:tcPr/>
          <w:p>
            <w:pPr>
              <w:pStyle w:val="Compact"/>
            </w:pPr>
            <w:r>
              <w:t xml:space="preserve">Limited visibility on post-TSA earnings power</w:t>
            </w:r>
          </w:p>
        </w:tc>
      </w:tr>
    </w:tbl>
    <w:p>
      <w:r>
        <w:pict>
          <v:rect style="width:0;height:1.5pt" o:hralign="center" o:hrstd="t" o:hr="t"/>
        </w:pict>
      </w:r>
    </w:p>
    <w:bookmarkEnd w:id="22"/>
    <w:bookmarkStart w:id="24" w:name="investment-framing-into-the-print"/>
    <w:p>
      <w:pPr>
        <w:pStyle w:val="Heading2"/>
      </w:pPr>
      <w:r>
        <w:t xml:space="preserve">Investment framing into the print</w:t>
      </w:r>
    </w:p>
    <w:p>
      <w:pPr>
        <w:pStyle w:val="FirstParagraph"/>
      </w:pPr>
      <w:r>
        <w:rPr>
          <w:b/>
          <w:bCs/>
        </w:rPr>
        <w:t xml:space="preserve">Bull case:</w:t>
      </w:r>
      <w:r>
        <w:t xml:space="preserve"> </w:t>
      </w:r>
      <w:r>
        <w:t xml:space="preserve">Baxter executes the planned first-half-to-second-half transition. Organic sales stabilize, manufacturing headwinds ease, Advanced Surgery and Drug Compounding remain durable growth contributors, and cost actions begin to lift margins. In that scenario, the current valuation can look reasonable for a deleveraging turnaround with improved 2027 optionality.</w:t>
      </w:r>
    </w:p>
    <w:p>
      <w:pPr>
        <w:pStyle w:val="BodyText"/>
      </w:pPr>
      <w:r>
        <w:rPr>
          <w:b/>
          <w:bCs/>
        </w:rPr>
        <w:t xml:space="preserve">Bear case:</w:t>
      </w:r>
      <w:r>
        <w:t xml:space="preserve"> </w:t>
      </w:r>
      <w:r>
        <w:t xml:space="preserve">The company meets a soft 2Q EPS bar but fails to substantiate the magnitude of the second-half earnings recovery. A prolonged Novum hold, weak infusion utilization, continued injectables supply issues, or additional factory costs would make the full-year guide—and especially the 2027 bridge—less credible.</w:t>
      </w:r>
    </w:p>
    <w:p>
      <w:pPr>
        <w:pStyle w:val="BodyText"/>
      </w:pPr>
      <w:r>
        <w:rPr>
          <w:b/>
          <w:bCs/>
        </w:rPr>
        <w:t xml:space="preserve">Most important takeaway:</w:t>
      </w:r>
      <w:r>
        <w:t xml:space="preserve"> </w:t>
      </w:r>
      <w:r>
        <w:t xml:space="preserve">A modest 2Q beat alone should not be enough. The report needs to validate the operational bridge to the back half:</w:t>
      </w:r>
      <w:r>
        <w:t xml:space="preserve"> </w:t>
      </w:r>
      <w:r>
        <w:rPr>
          <w:b/>
          <w:bCs/>
        </w:rPr>
        <w:t xml:space="preserve">stable organic demand, contained manufacturing costs, credible margin expansion, and steady deleveraging.</w:t>
      </w:r>
    </w:p>
    <w:p>
      <w:r>
        <w:pict>
          <v:rect style="width:0;height:1.5pt" o:hralign="center" o:hrstd="t" o:hr="t"/>
        </w:pict>
      </w:r>
    </w:p>
    <w:bookmarkStart w:id="23" w:name="research-materials-reviewed"/>
    <w:p>
      <w:pPr>
        <w:pStyle w:val="Heading3"/>
      </w:pPr>
      <w:r>
        <w:t xml:space="preserve">Research materials reviewed</w:t>
      </w:r>
    </w:p>
    <w:p>
      <w:pPr>
        <w:pStyle w:val="Compact"/>
        <w:numPr>
          <w:ilvl w:val="0"/>
          <w:numId w:val="1011"/>
        </w:numPr>
      </w:pPr>
      <w:r>
        <w:t xml:space="preserve">Baxter 1Q26 earnings release and Form 10-Q</w:t>
      </w:r>
    </w:p>
    <w:p>
      <w:pPr>
        <w:pStyle w:val="Compact"/>
        <w:numPr>
          <w:ilvl w:val="0"/>
          <w:numId w:val="1011"/>
        </w:numPr>
      </w:pPr>
      <w:r>
        <w:t xml:space="preserve">Baxter management presentations at the May 13 Bank of America and June 9 Goldman Sachs healthcare conferences</w:t>
      </w:r>
    </w:p>
    <w:p>
      <w:pPr>
        <w:pStyle w:val="Compact"/>
        <w:numPr>
          <w:ilvl w:val="0"/>
          <w:numId w:val="1011"/>
        </w:numPr>
      </w:pPr>
      <w:r>
        <w:t xml:space="preserve">Baxter’s July 14, 2026, 8-K recasting historical segment information</w:t>
      </w:r>
    </w:p>
    <w:p>
      <w:pPr>
        <w:pStyle w:val="Compact"/>
        <w:numPr>
          <w:ilvl w:val="0"/>
          <w:numId w:val="1011"/>
        </w:numPr>
      </w:pPr>
      <w:r>
        <w:t xml:space="preserve">BAX historical share-price data through July 29, 2026</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2026-07-29T18:16:22Z</dcterms:created>
  <dcterms:modified xsi:type="dcterms:W3CDTF">2026-07-29T18:16:22Z</dcterms:modified>
</cp:coreProperties>
</file>

<file path=docProps/custom.xml><?xml version="1.0" encoding="utf-8"?>
<Properties xmlns="http://schemas.openxmlformats.org/officeDocument/2006/custom-properties" xmlns:vt="http://schemas.openxmlformats.org/officeDocument/2006/docPropsVTypes"/>
</file>