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bax-earnings-predictions--2026-07-30"/>
    <w:p>
      <w:pPr>
        <w:pStyle w:val="Heading1"/>
      </w:pPr>
      <w:r>
        <w:t xml:space="preserve">BAX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Adj.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~$0.38-0.40 vs. cons $0.370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~$2,800-2,830M vs. cons $2,793M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Adj. Operating Margin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~10.5-11.5% vs. cons ~11.0%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Adj. EPS (FY2026)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1.85</m:t>
              </m:r>
              <m:r>
                <m:rPr>
                  <m:sty m:val="p"/>
                </m:rPr>
                <m:t>−</m:t>
              </m:r>
            </m:oMath>
            <w:r>
              <w:t xml:space="preserve">2.05 midpoint $1.95 vs. cons $1.905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Revenue (FY2026)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flat to +1% reported vs. cons $11,353M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Adj. Op. Margin (FY2026)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13%-14% vs. cons ~13.3%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-3.0%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-4.0% (FADE)</w:t>
            </w:r>
          </w:p>
        </w:tc>
        <w:tc>
          <w:tcPr/>
          <w:p>
            <w:pPr>
              <w:pStyle w:val="Compact"/>
            </w:pPr>
            <w:r>
              <w:t xml:space="preserve">FADE — estimates flat on reiteration; implied H2 math thin; momentum sellers dominate after +41% run into print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2026-08-01T02:02:18Z</dcterms:created>
  <dcterms:modified xsi:type="dcterms:W3CDTF">2026-08-01T02:02:18Z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