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Baxter International (BAX)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Baxter International Inc.</w:t>
            </w:r>
          </w:p>
        </w:tc>
        <w:tc>
          <w:tcPr>
            <w:tcW w:type="dxa" w:w="2160"/>
          </w:tcPr>
          <w:p>
            <w:r>
              <w:rPr>
                <w:rFonts w:ascii="Calibri" w:hAnsi="Calibri"/>
                <w:b/>
                <w:sz w:val="22"/>
              </w:rPr>
              <w:t>Ticker</w:t>
            </w:r>
          </w:p>
        </w:tc>
        <w:tc>
          <w:tcPr>
            <w:tcW w:type="dxa" w:w="2160"/>
          </w:tcPr>
          <w:p>
            <w:r>
              <w:rPr>
                <w:rFonts w:ascii="Calibri" w:hAnsi="Calibri"/>
                <w:sz w:val="22"/>
              </w:rPr>
              <w:t>BAX (NYSE)</w:t>
            </w:r>
          </w:p>
        </w:tc>
      </w:tr>
      <w:tr>
        <w:tc>
          <w:tcPr>
            <w:tcW w:type="dxa" w:w="2160"/>
          </w:tcPr>
          <w:p>
            <w:r>
              <w:rPr>
                <w:rFonts w:ascii="Calibri" w:hAnsi="Calibri"/>
                <w:b/>
                <w:sz w:val="22"/>
              </w:rPr>
              <w:t>Upcoming Earnings</w:t>
            </w:r>
          </w:p>
        </w:tc>
        <w:tc>
          <w:tcPr>
            <w:tcW w:type="dxa" w:w="2160"/>
          </w:tcPr>
          <w:p>
            <w:r>
              <w:rPr>
                <w:rFonts w:ascii="Calibri" w:hAnsi="Calibri"/>
                <w:sz w:val="22"/>
              </w:rPr>
              <w:t>Q2 2026 (date TBD; conference call announced July 9, 2026)</w:t>
            </w:r>
          </w:p>
        </w:tc>
        <w:tc>
          <w:tcPr>
            <w:tcW w:type="dxa" w:w="2160"/>
          </w:tcPr>
          <w:p>
            <w:r>
              <w:rPr>
                <w:rFonts w:ascii="Calibri" w:hAnsi="Calibri"/>
                <w:b/>
                <w:sz w:val="22"/>
              </w:rPr>
              <w:t>Last Earnings</w:t>
            </w:r>
          </w:p>
        </w:tc>
        <w:tc>
          <w:tcPr>
            <w:tcW w:type="dxa" w:w="2160"/>
          </w:tcPr>
          <w:p>
            <w:r>
              <w:rPr>
                <w:rFonts w:ascii="Calibri" w:hAnsi="Calibri"/>
                <w:sz w:val="22"/>
              </w:rPr>
              <w:t>April 30, 2026 (Q1 2026)</w:t>
            </w:r>
          </w:p>
        </w:tc>
      </w:tr>
      <w:tr>
        <w:tc>
          <w:tcPr>
            <w:tcW w:type="dxa" w:w="2160"/>
          </w:tcPr>
          <w:p>
            <w:r>
              <w:rPr>
                <w:rFonts w:ascii="Calibri" w:hAnsi="Calibri"/>
                <w:b/>
                <w:sz w:val="22"/>
              </w:rPr>
              <w:t>Prepared</w:t>
            </w:r>
          </w:p>
        </w:tc>
        <w:tc>
          <w:tcPr>
            <w:tcW w:type="dxa" w:w="2160"/>
          </w:tcPr>
          <w:p>
            <w:r>
              <w:rPr>
                <w:rFonts w:ascii="Calibri" w:hAnsi="Calibri"/>
                <w:sz w:val="22"/>
              </w:rPr>
              <w:t>July 29, 2026</w:t>
            </w:r>
          </w:p>
        </w:tc>
        <w:tc>
          <w:tcPr>
            <w:tcW w:type="dxa" w:w="2160"/>
          </w:tcPr>
          <w:p>
            <w:r>
              <w:rPr>
                <w:rFonts w:ascii="Calibri" w:hAnsi="Calibri"/>
                <w:b/>
                <w:sz w:val="22"/>
              </w:rPr>
              <w:t>Sector ETF Benchmark</w:t>
            </w:r>
          </w:p>
        </w:tc>
        <w:tc>
          <w:tcPr>
            <w:tcW w:type="dxa" w:w="2160"/>
          </w:tcPr>
          <w:p>
            <w:r>
              <w:rPr>
                <w:rFonts w:ascii="Calibri" w:hAnsi="Calibri"/>
                <w:sz w:val="22"/>
              </w:rPr>
              <w:t>IHI (iShares U.S. Medical Devices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deliberately low bar — management guided Q2 earnings to be "similar to Q1" with slight volume improvement — but the stock's +41% rally since Q1 earnings means any miss or guidance trim would be punished from a much higher base. The single biggest swing factor is whether the injectable supply disruption and Novum headwinds are stabilizing or worsening.</w:t>
      </w:r>
    </w:p>
    <w:p>
      <w:r>
        <w:rPr>
          <w:rFonts w:ascii="Calibri" w:hAnsi="Calibri"/>
          <w:color w:val="525866"/>
          <w:sz w:val="22"/>
        </w:rPr>
        <w:t xml:space="preserve">Heading into Q2 2026, Baxter faces a deliberately de-risked consensus bar — management explicitly guided Q2 earnings to be "similar to Q1" ($0.36 adjusted EPS) with only slight volume improvement, and the Street has set estimates accordingly at ~$0.37 adjusted EPS and ~$2.79B revenue. The quarter is mechanically the </w:t>
      </w:r>
      <w:r>
        <w:rPr>
          <w:rFonts w:ascii="Calibri" w:hAnsi="Calibri"/>
          <w:b/>
          <w:color w:val="525866"/>
          <w:sz w:val="22"/>
        </w:rPr>
        <w:t>last period before Novum LVP laps</w:t>
      </w:r>
      <w:r>
        <w:rPr>
          <w:rFonts w:ascii="Calibri" w:hAnsi="Calibri"/>
          <w:color w:val="525866"/>
          <w:sz w:val="22"/>
        </w:rPr>
        <w:t xml:space="preserve"> (Q2 2025 was the first full quarter of the hold), which removes a year-over-year headwind in Q3 but means Q2 still absorbs the full drag. Management's posture since the April 30 print has been cautiously stable — full-year guidance was reiterated in full ($1.85–$2.05 adjusted EPS, flat to 1% reported sales growth) — but estimate revisions have been modestly negative, with Citi downgrading to Sell in late May and Zacks cutting to Strong Sell in mid-July, suggesting the Street is not giving BAX the benefit of the doubt on H2 recovery. The stock has dramatically outperformed since Q1 earnings (+41% vs. IHI +4%, SPY +2%), which is a double-edged setup: the low bar is priced in, but the multiple has re-rated meaningfully. The key wildcard is the </w:t>
      </w:r>
      <w:r>
        <w:rPr>
          <w:rFonts w:ascii="Calibri" w:hAnsi="Calibri"/>
          <w:b/>
          <w:color w:val="525866"/>
          <w:sz w:val="22"/>
        </w:rPr>
        <w:t>contract manufacturer supply disruption in injectables</w:t>
      </w:r>
      <w:r>
        <w:rPr>
          <w:rFonts w:ascii="Calibri" w:hAnsi="Calibri"/>
          <w:color w:val="525866"/>
          <w:sz w:val="22"/>
        </w:rPr>
        <w:t xml:space="preserve"> — management flagged limited supply persisting into 2027, and any incremental deterioration or improvement in that situation could materially move the Pharmaceuticals/ITP segment and full-year guidance credibility. The segment restructuring (Pharmaceuticals folded into MPT effective Q2 2026) adds a comparability wrinkle that may create noise in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both revenue (~$2.79B, roughly flat with Q1) and adjusted EPS (~$0.37, essentially in line with Q1's $0.36 actual), consistent with management's own "similar to Q1" guidance. </w:t>
      </w:r>
      <w:r>
        <w:rPr>
          <w:rFonts w:ascii="Calibri" w:hAnsi="Calibri"/>
          <w:b/>
          <w:color w:val="525866"/>
          <w:sz w:val="22"/>
        </w:rPr>
        <w:t>Adjusted operating margin is the bigger swing factor</w:t>
      </w:r>
      <w:r>
        <w:rPr>
          <w:rFonts w:ascii="Calibri" w:hAnsi="Calibri"/>
          <w:color w:val="525866"/>
          <w:sz w:val="22"/>
        </w:rPr>
        <w:t xml:space="preserve"> — the H1-to-H2 bridge requires ~500bps of expansion in H2, and any early signal of cost structure progress (or lack thereof) will drive the stock more than the top 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$2.701B</w:t>
            </w:r>
          </w:p>
        </w:tc>
        <w:tc>
          <w:tcPr>
            <w:tcW w:type="dxa" w:w="1234"/>
          </w:tcPr>
          <w:p>
            <w:r>
              <w:rPr>
                <w:rFonts w:ascii="Calibri" w:hAnsi="Calibri"/>
                <w:sz w:val="22"/>
              </w:rPr>
              <w:t>$2.810B</w:t>
            </w:r>
          </w:p>
        </w:tc>
        <w:tc>
          <w:tcPr>
            <w:tcW w:type="dxa" w:w="1234"/>
          </w:tcPr>
          <w:p>
            <w:r>
              <w:rPr>
                <w:rFonts w:ascii="Calibri" w:hAnsi="Calibri"/>
                <w:sz w:val="22"/>
              </w:rPr>
              <w:t>$2.794B</w:t>
            </w:r>
          </w:p>
        </w:tc>
        <w:tc>
          <w:tcPr>
            <w:tcW w:type="dxa" w:w="1234"/>
          </w:tcPr>
          <w:p>
            <w:r>
              <w:rPr>
                <w:rFonts w:ascii="Calibri" w:hAnsi="Calibri"/>
                <w:sz w:val="22"/>
              </w:rPr>
              <w:t>-0.6%</w:t>
            </w:r>
          </w:p>
        </w:tc>
        <w:tc>
          <w:tcPr>
            <w:tcW w:type="dxa" w:w="1234"/>
          </w:tcPr>
          <w:p>
            <w:r>
              <w:rPr>
                <w:rFonts w:ascii="Calibri" w:hAnsi="Calibri"/>
                <w:sz w:val="22"/>
              </w:rPr>
              <w:t>Flat to +1% reported</w:t>
            </w:r>
          </w:p>
        </w:tc>
        <w:tc>
          <w:tcPr>
            <w:tcW w:type="dxa" w:w="1234"/>
          </w:tcPr>
          <w:p>
            <w:r>
              <w:rPr>
                <w:rFonts w:ascii="Calibri" w:hAnsi="Calibri"/>
                <w:sz w:val="22"/>
              </w:rPr>
              <w:t>Within range (FY ~$11.35B implied)</w:t>
            </w:r>
          </w:p>
        </w:tc>
      </w:tr>
      <w:tr>
        <w:tc>
          <w:tcPr>
            <w:tcW w:type="dxa" w:w="1234"/>
          </w:tcPr>
          <w:p>
            <w:r>
              <w:rPr>
                <w:rFonts w:ascii="Calibri" w:hAnsi="Calibri"/>
                <w:sz w:val="22"/>
              </w:rPr>
              <w:t>Adj. EPS — Diluted (Cont. Ops)</w:t>
            </w:r>
          </w:p>
        </w:tc>
        <w:tc>
          <w:tcPr>
            <w:tcW w:type="dxa" w:w="1234"/>
          </w:tcPr>
          <w:p>
            <w:r>
              <w:rPr>
                <w:rFonts w:ascii="Calibri" w:hAnsi="Calibri"/>
                <w:sz w:val="22"/>
              </w:rPr>
              <w:t>$0.37</w:t>
            </w:r>
          </w:p>
        </w:tc>
        <w:tc>
          <w:tcPr>
            <w:tcW w:type="dxa" w:w="1234"/>
          </w:tcPr>
          <w:p>
            <w:r>
              <w:rPr>
                <w:rFonts w:ascii="Calibri" w:hAnsi="Calibri"/>
                <w:sz w:val="22"/>
              </w:rPr>
              <w:t>$0.54</w:t>
            </w:r>
          </w:p>
        </w:tc>
        <w:tc>
          <w:tcPr>
            <w:tcW w:type="dxa" w:w="1234"/>
          </w:tcPr>
          <w:p>
            <w:r>
              <w:rPr>
                <w:rFonts w:ascii="Calibri" w:hAnsi="Calibri"/>
                <w:sz w:val="22"/>
              </w:rPr>
              <w:t>$0.37</w:t>
            </w:r>
          </w:p>
        </w:tc>
        <w:tc>
          <w:tcPr>
            <w:tcW w:type="dxa" w:w="1234"/>
          </w:tcPr>
          <w:p>
            <w:r>
              <w:rPr>
                <w:rFonts w:ascii="Calibri" w:hAnsi="Calibri"/>
                <w:sz w:val="22"/>
              </w:rPr>
              <w:t>-31.5%</w:t>
            </w:r>
          </w:p>
        </w:tc>
        <w:tc>
          <w:tcPr>
            <w:tcW w:type="dxa" w:w="1234"/>
          </w:tcPr>
          <w:p>
            <w:r>
              <w:rPr>
                <w:rFonts w:ascii="Calibri" w:hAnsi="Calibri"/>
                <w:sz w:val="22"/>
              </w:rPr>
              <w:t>$1.85–$2.05</w:t>
            </w:r>
          </w:p>
        </w:tc>
        <w:tc>
          <w:tcPr>
            <w:tcW w:type="dxa" w:w="1234"/>
          </w:tcPr>
          <w:p>
            <w:r>
              <w:rPr>
                <w:rFonts w:ascii="Calibri" w:hAnsi="Calibri"/>
                <w:sz w:val="22"/>
              </w:rPr>
              <w:t>~$0.03 above Q2 guidance midpoint implied</w:t>
            </w:r>
          </w:p>
        </w:tc>
      </w:tr>
      <w:tr>
        <w:tc>
          <w:tcPr>
            <w:tcW w:type="dxa" w:w="1234"/>
          </w:tcPr>
          <w:p>
            <w:r>
              <w:rPr>
                <w:rFonts w:ascii="Calibri" w:hAnsi="Calibri"/>
                <w:sz w:val="22"/>
              </w:rPr>
              <w:t>Adj. Operating Income ($M)</w:t>
            </w:r>
          </w:p>
        </w:tc>
        <w:tc>
          <w:tcPr>
            <w:tcW w:type="dxa" w:w="1234"/>
          </w:tcPr>
          <w:p>
            <w:r>
              <w:rPr>
                <w:rFonts w:ascii="Calibri" w:hAnsi="Calibri"/>
                <w:sz w:val="22"/>
              </w:rPr>
              <w:t>$297M</w:t>
            </w:r>
          </w:p>
        </w:tc>
        <w:tc>
          <w:tcPr>
            <w:tcW w:type="dxa" w:w="1234"/>
          </w:tcPr>
          <w:p>
            <w:r>
              <w:rPr>
                <w:rFonts w:ascii="Calibri" w:hAnsi="Calibri"/>
                <w:sz w:val="22"/>
              </w:rPr>
              <w:t>$423M</w:t>
            </w:r>
          </w:p>
        </w:tc>
        <w:tc>
          <w:tcPr>
            <w:tcW w:type="dxa" w:w="1234"/>
          </w:tcPr>
          <w:p>
            <w:r>
              <w:rPr>
                <w:rFonts w:ascii="Calibri" w:hAnsi="Calibri"/>
                <w:sz w:val="22"/>
              </w:rPr>
              <w:t>$306M</w:t>
            </w:r>
          </w:p>
        </w:tc>
        <w:tc>
          <w:tcPr>
            <w:tcW w:type="dxa" w:w="1234"/>
          </w:tcPr>
          <w:p>
            <w:r>
              <w:rPr>
                <w:rFonts w:ascii="Calibri" w:hAnsi="Calibri"/>
                <w:sz w:val="22"/>
              </w:rPr>
              <w:t>-27.7%</w:t>
            </w:r>
          </w:p>
        </w:tc>
        <w:tc>
          <w:tcPr>
            <w:tcW w:type="dxa" w:w="1234"/>
          </w:tcPr>
          <w:p>
            <w:r>
              <w:rPr>
                <w:rFonts w:ascii="Calibri" w:hAnsi="Calibri"/>
                <w:sz w:val="22"/>
              </w:rPr>
              <w:t>13%–14% adj. op. margin FY</w:t>
            </w:r>
          </w:p>
        </w:tc>
        <w:tc>
          <w:tcPr>
            <w:tcW w:type="dxa" w:w="1234"/>
          </w:tcPr>
          <w:p>
            <w:r>
              <w:rPr>
                <w:rFonts w:ascii="Calibri" w:hAnsi="Calibri"/>
                <w:sz w:val="22"/>
              </w:rPr>
              <w:t>Implies ~11% Q2 margin; H2 recovery needed</w:t>
            </w:r>
          </w:p>
        </w:tc>
      </w:tr>
      <w:tr>
        <w:tc>
          <w:tcPr>
            <w:tcW w:type="dxa" w:w="1234"/>
          </w:tcPr>
          <w:p>
            <w:r>
              <w:rPr>
                <w:rFonts w:ascii="Calibri" w:hAnsi="Calibri"/>
                <w:sz w:val="22"/>
              </w:rPr>
              <w:t>Adj. EBITDA ($M)</w:t>
            </w:r>
          </w:p>
        </w:tc>
        <w:tc>
          <w:tcPr>
            <w:tcW w:type="dxa" w:w="1234"/>
          </w:tcPr>
          <w:p>
            <w:r>
              <w:rPr>
                <w:rFonts w:ascii="Calibri" w:hAnsi="Calibri"/>
                <w:sz w:val="22"/>
              </w:rPr>
              <w:t>$534M</w:t>
            </w:r>
          </w:p>
        </w:tc>
        <w:tc>
          <w:tcPr>
            <w:tcW w:type="dxa" w:w="1234"/>
          </w:tcPr>
          <w:p>
            <w:r>
              <w:rPr>
                <w:rFonts w:ascii="Calibri" w:hAnsi="Calibri"/>
                <w:sz w:val="22"/>
              </w:rPr>
              <w:t>$680M</w:t>
            </w:r>
          </w:p>
        </w:tc>
        <w:tc>
          <w:tcPr>
            <w:tcW w:type="dxa" w:w="1234"/>
          </w:tcPr>
          <w:p>
            <w:r>
              <w:rPr>
                <w:rFonts w:ascii="Calibri" w:hAnsi="Calibri"/>
                <w:sz w:val="22"/>
              </w:rPr>
              <w:t>$489M</w:t>
            </w:r>
          </w:p>
        </w:tc>
        <w:tc>
          <w:tcPr>
            <w:tcW w:type="dxa" w:w="1234"/>
          </w:tcPr>
          <w:p>
            <w:r>
              <w:rPr>
                <w:rFonts w:ascii="Calibri" w:hAnsi="Calibri"/>
                <w:sz w:val="22"/>
              </w:rPr>
              <w:t>-28.1%</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$76M</w:t>
            </w:r>
          </w:p>
        </w:tc>
        <w:tc>
          <w:tcPr>
            <w:tcW w:type="dxa" w:w="1234"/>
          </w:tcPr>
          <w:p>
            <w:r>
              <w:rPr>
                <w:rFonts w:ascii="Calibri" w:hAnsi="Calibri"/>
                <w:sz w:val="22"/>
              </w:rPr>
              <w:t>$77M</w:t>
            </w:r>
          </w:p>
        </w:tc>
        <w:tc>
          <w:tcPr>
            <w:tcW w:type="dxa" w:w="1234"/>
          </w:tcPr>
          <w:p>
            <w:r>
              <w:rPr>
                <w:rFonts w:ascii="Calibri" w:hAnsi="Calibri"/>
                <w:sz w:val="22"/>
              </w:rPr>
              <w:t>-$51M (consensus)</w:t>
            </w:r>
          </w:p>
        </w:tc>
        <w:tc>
          <w:tcPr>
            <w:tcW w:type="dxa" w:w="1234"/>
          </w:tcPr>
          <w:p>
            <w:r>
              <w:rPr>
                <w:rFonts w:ascii="Calibri" w:hAnsi="Calibri"/>
                <w:sz w:val="22"/>
              </w:rPr>
              <w:t>N/M</w:t>
            </w:r>
          </w:p>
        </w:tc>
        <w:tc>
          <w:tcPr>
            <w:tcW w:type="dxa" w:w="1234"/>
          </w:tcPr>
          <w:p>
            <w:r>
              <w:rPr>
                <w:rFonts w:ascii="Calibri" w:hAnsi="Calibri"/>
                <w:sz w:val="22"/>
              </w:rPr>
              <w:t>Back-half weighted; full-year positive</w:t>
            </w:r>
          </w:p>
        </w:tc>
        <w:tc>
          <w:tcPr>
            <w:tcW w:type="dxa" w:w="1234"/>
          </w:tcPr>
          <w:p>
            <w:r>
              <w:rPr>
                <w:rFonts w:ascii="Calibri" w:hAnsi="Calibri"/>
                <w:sz w:val="22"/>
              </w:rPr>
              <w:t>Consensus below guidance tone; H2 weighted</w:t>
            </w:r>
          </w:p>
        </w:tc>
      </w:tr>
    </w:tbl>
    <w:p>
      <w:r>
        <w:rPr>
          <w:rFonts w:ascii="Calibri" w:hAnsi="Calibri"/>
          <w:i/>
          <w:color w:val="525866"/>
          <w:sz w:val="22"/>
        </w:rPr>
        <w:t>Source: Visible Alpha consensus data. Q1 2026 actuals from BAX Q1 2026 earnings release (April 30, 2026). Q2 2025 actuals from Visible Alpha. FY 2026 guidance from Q1 2026 earnings call.</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$2.701B</w:t>
            </w:r>
          </w:p>
        </w:tc>
        <w:tc>
          <w:tcPr>
            <w:tcW w:type="dxa" w:w="1728"/>
          </w:tcPr>
          <w:p>
            <w:r>
              <w:rPr>
                <w:rFonts w:ascii="Calibri" w:hAnsi="Calibri"/>
                <w:sz w:val="22"/>
              </w:rPr>
              <w:t>$2.610B</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$2.974B</w:t>
            </w:r>
          </w:p>
        </w:tc>
        <w:tc>
          <w:tcPr>
            <w:tcW w:type="dxa" w:w="1728"/>
          </w:tcPr>
          <w:p>
            <w:r>
              <w:rPr>
                <w:rFonts w:ascii="Calibri" w:hAnsi="Calibri"/>
                <w:sz w:val="22"/>
              </w:rPr>
              <w:t>$2.813B</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$2.835B</w:t>
            </w:r>
          </w:p>
        </w:tc>
        <w:tc>
          <w:tcPr>
            <w:tcW w:type="dxa" w:w="1728"/>
          </w:tcPr>
          <w:p>
            <w:r>
              <w:rPr>
                <w:rFonts w:ascii="Calibri" w:hAnsi="Calibri"/>
                <w:sz w:val="22"/>
              </w:rPr>
              <w:t>$2.877B</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$2.810B</w:t>
            </w:r>
          </w:p>
        </w:tc>
        <w:tc>
          <w:tcPr>
            <w:tcW w:type="dxa" w:w="1728"/>
          </w:tcPr>
          <w:p>
            <w:r>
              <w:rPr>
                <w:rFonts w:ascii="Calibri" w:hAnsi="Calibri"/>
                <w:sz w:val="22"/>
              </w:rPr>
              <w:t>$2.820B</w:t>
            </w:r>
          </w:p>
        </w:tc>
        <w:tc>
          <w:tcPr>
            <w:tcW w:type="dxa" w:w="1728"/>
          </w:tcPr>
          <w:p>
            <w:r>
              <w:rPr>
                <w:rFonts w:ascii="Calibri" w:hAnsi="Calibri"/>
                <w:b/>
                <w:color w:val="E5484D"/>
                <w:sz w:val="22"/>
              </w:rPr>
              <w:t>-0.4%</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$2.625B</w:t>
            </w:r>
          </w:p>
        </w:tc>
        <w:tc>
          <w:tcPr>
            <w:tcW w:type="dxa" w:w="1728"/>
          </w:tcPr>
          <w:p>
            <w:r>
              <w:rPr>
                <w:rFonts w:ascii="Calibri" w:hAnsi="Calibri"/>
                <w:sz w:val="22"/>
              </w:rPr>
              <w:t>$2.576B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$2.753B</w:t>
            </w:r>
          </w:p>
        </w:tc>
        <w:tc>
          <w:tcPr>
            <w:tcW w:type="dxa" w:w="1728"/>
          </w:tcPr>
          <w:p>
            <w:r>
              <w:rPr>
                <w:rFonts w:ascii="Calibri" w:hAnsi="Calibri"/>
                <w:sz w:val="22"/>
              </w:rPr>
              <w:t>$2.664B</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$2.699B</w:t>
            </w:r>
          </w:p>
        </w:tc>
        <w:tc>
          <w:tcPr>
            <w:tcW w:type="dxa" w:w="1728"/>
          </w:tcPr>
          <w:p>
            <w:r>
              <w:rPr>
                <w:rFonts w:ascii="Calibri" w:hAnsi="Calibri"/>
                <w:sz w:val="22"/>
              </w:rPr>
              <w:t>$3.844B*</w:t>
            </w:r>
          </w:p>
        </w:tc>
        <w:tc>
          <w:tcPr>
            <w:tcW w:type="dxa" w:w="1728"/>
          </w:tcPr>
          <w:p>
            <w:r>
              <w:rPr>
                <w:rFonts w:ascii="Calibri" w:hAnsi="Calibri"/>
                <w:sz w:val="22"/>
              </w:rPr>
              <w:t>N/M*</w:t>
            </w:r>
          </w:p>
        </w:tc>
        <w:tc>
          <w:tcPr>
            <w:tcW w:type="dxa" w:w="1728"/>
          </w:tcPr>
          <w:p>
            <w:r>
              <w:rPr>
                <w:rFonts w:ascii="Calibri" w:hAnsi="Calibri"/>
                <w:sz w:val="22"/>
              </w:rPr>
              <w:t>N/M*</w:t>
            </w:r>
          </w:p>
        </w:tc>
      </w:tr>
      <w:tr>
        <w:tc>
          <w:tcPr>
            <w:tcW w:type="dxa" w:w="1728"/>
          </w:tcPr>
          <w:p>
            <w:r>
              <w:rPr>
                <w:rFonts w:ascii="Calibri" w:hAnsi="Calibri"/>
                <w:sz w:val="22"/>
              </w:rPr>
              <w:t>Q2 2024</w:t>
            </w:r>
          </w:p>
        </w:tc>
        <w:tc>
          <w:tcPr>
            <w:tcW w:type="dxa" w:w="1728"/>
          </w:tcPr>
          <w:p>
            <w:r>
              <w:rPr>
                <w:rFonts w:ascii="Calibri" w:hAnsi="Calibri"/>
                <w:sz w:val="22"/>
              </w:rPr>
              <w:t>$2.694B</w:t>
            </w:r>
          </w:p>
        </w:tc>
        <w:tc>
          <w:tcPr>
            <w:tcW w:type="dxa" w:w="1728"/>
          </w:tcPr>
          <w:p>
            <w:r>
              <w:rPr>
                <w:rFonts w:ascii="Calibri" w:hAnsi="Calibri"/>
                <w:sz w:val="22"/>
              </w:rPr>
              <w:t>$3.755B*</w:t>
            </w:r>
          </w:p>
        </w:tc>
        <w:tc>
          <w:tcPr>
            <w:tcW w:type="dxa" w:w="1728"/>
          </w:tcPr>
          <w:p>
            <w:r>
              <w:rPr>
                <w:rFonts w:ascii="Calibri" w:hAnsi="Calibri"/>
                <w:sz w:val="22"/>
              </w:rPr>
              <w:t>N/M*</w:t>
            </w:r>
          </w:p>
        </w:tc>
        <w:tc>
          <w:tcPr>
            <w:tcW w:type="dxa" w:w="1728"/>
          </w:tcPr>
          <w:p>
            <w:r>
              <w:rPr>
                <w:rFonts w:ascii="Calibri" w:hAnsi="Calibri"/>
                <w:sz w:val="22"/>
              </w:rPr>
              <w:t>N/M*</w:t>
            </w:r>
          </w:p>
        </w:tc>
      </w:tr>
    </w:tbl>
    <w:p>
      <w:r>
        <w:rPr>
          <w:rFonts w:ascii="Calibri" w:hAnsi="Calibri"/>
          <w:i/>
          <w:color w:val="525866"/>
          <w:sz w:val="22"/>
        </w:rPr>
        <w:t>* Q2 and Q3 2024 consensus figures from Visible Alpha appear to reflect pre-Vantive spin-off estimates (including Kidney Care segment) and are not comparable to post-spin actuals. Excluded from beat/miss pattern analysis.</w:t>
      </w:r>
    </w:p>
    <w:p>
      <w:pPr>
        <w:pStyle w:val="Heading4"/>
      </w:pPr>
      <w:r>
        <w:rPr>
          <w:rFonts w:ascii="Calibri" w:hAnsi="Calibri"/>
          <w:b/>
          <w:color w:val="3B4259"/>
          <w:sz w:val="22"/>
        </w:rPr>
        <w:t>KPI 2: Adjusted EPS (Diluted, Continuing Operations)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$0.37</w:t>
            </w:r>
          </w:p>
        </w:tc>
        <w:tc>
          <w:tcPr>
            <w:tcW w:type="dxa" w:w="1728"/>
          </w:tcPr>
          <w:p>
            <w:r>
              <w:rPr>
                <w:rFonts w:ascii="Calibri" w:hAnsi="Calibri"/>
                <w:sz w:val="22"/>
              </w:rPr>
              <w:t>$0.31</w:t>
            </w:r>
          </w:p>
        </w:tc>
        <w:tc>
          <w:tcPr>
            <w:tcW w:type="dxa" w:w="1728"/>
          </w:tcPr>
          <w:p>
            <w:r>
              <w:rPr>
                <w:rFonts w:ascii="Calibri" w:hAnsi="Calibri"/>
                <w:b/>
                <w:color w:val="30A46C"/>
                <w:sz w:val="22"/>
              </w:rPr>
              <w:t>+21.1%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$0.36</w:t>
            </w:r>
          </w:p>
        </w:tc>
        <w:tc>
          <w:tcPr>
            <w:tcW w:type="dxa" w:w="1728"/>
          </w:tcPr>
          <w:p>
            <w:r>
              <w:rPr>
                <w:rFonts w:ascii="Calibri" w:hAnsi="Calibri"/>
                <w:sz w:val="22"/>
              </w:rPr>
              <w:t>$0.54</w:t>
            </w:r>
          </w:p>
        </w:tc>
        <w:tc>
          <w:tcPr>
            <w:tcW w:type="dxa" w:w="1728"/>
          </w:tcPr>
          <w:p>
            <w:r>
              <w:rPr>
                <w:rFonts w:ascii="Calibri" w:hAnsi="Calibri"/>
                <w:b/>
                <w:color w:val="E5484D"/>
                <w:sz w:val="22"/>
              </w:rPr>
              <w:t>-33.3%</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$0.69</w:t>
            </w:r>
          </w:p>
        </w:tc>
        <w:tc>
          <w:tcPr>
            <w:tcW w:type="dxa" w:w="1728"/>
          </w:tcPr>
          <w:p>
            <w:r>
              <w:rPr>
                <w:rFonts w:ascii="Calibri" w:hAnsi="Calibri"/>
                <w:sz w:val="22"/>
              </w:rPr>
              <w:t>$0.60</w:t>
            </w:r>
          </w:p>
        </w:tc>
        <w:tc>
          <w:tcPr>
            <w:tcW w:type="dxa" w:w="1728"/>
          </w:tcPr>
          <w:p>
            <w:r>
              <w:rPr>
                <w:rFonts w:ascii="Calibri" w:hAnsi="Calibri"/>
                <w:b/>
                <w:color w:val="30A46C"/>
                <w:sz w:val="22"/>
              </w:rPr>
              <w:t>+14.3%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$0.54</w:t>
            </w:r>
          </w:p>
        </w:tc>
        <w:tc>
          <w:tcPr>
            <w:tcW w:type="dxa" w:w="1728"/>
          </w:tcPr>
          <w:p>
            <w:r>
              <w:rPr>
                <w:rFonts w:ascii="Calibri" w:hAnsi="Calibri"/>
                <w:sz w:val="22"/>
              </w:rPr>
              <w:t>$0.60</w:t>
            </w:r>
          </w:p>
        </w:tc>
        <w:tc>
          <w:tcPr>
            <w:tcW w:type="dxa" w:w="1728"/>
          </w:tcPr>
          <w:p>
            <w:r>
              <w:rPr>
                <w:rFonts w:ascii="Calibri" w:hAnsi="Calibri"/>
                <w:b/>
                <w:color w:val="E5484D"/>
                <w:sz w:val="22"/>
              </w:rPr>
              <w:t>-9.7%</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$0.62</w:t>
            </w:r>
          </w:p>
        </w:tc>
        <w:tc>
          <w:tcPr>
            <w:tcW w:type="dxa" w:w="1728"/>
          </w:tcPr>
          <w:p>
            <w:r>
              <w:rPr>
                <w:rFonts w:ascii="Calibri" w:hAnsi="Calibri"/>
                <w:sz w:val="22"/>
              </w:rPr>
              <w:t>$0.49</w:t>
            </w:r>
          </w:p>
        </w:tc>
        <w:tc>
          <w:tcPr>
            <w:tcW w:type="dxa" w:w="1728"/>
          </w:tcPr>
          <w:p>
            <w:r>
              <w:rPr>
                <w:rFonts w:ascii="Calibri" w:hAnsi="Calibri"/>
                <w:b/>
                <w:color w:val="30A46C"/>
                <w:sz w:val="22"/>
              </w:rPr>
              <w:t>+26.5%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$0.52</w:t>
            </w:r>
          </w:p>
        </w:tc>
        <w:tc>
          <w:tcPr>
            <w:tcW w:type="dxa" w:w="1728"/>
          </w:tcPr>
          <w:p>
            <w:r>
              <w:rPr>
                <w:rFonts w:ascii="Calibri" w:hAnsi="Calibri"/>
                <w:b/>
                <w:color w:val="30A46C"/>
                <w:sz w:val="22"/>
              </w:rPr>
              <w:t>+49.0%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$0.80</w:t>
            </w:r>
          </w:p>
        </w:tc>
        <w:tc>
          <w:tcPr>
            <w:tcW w:type="dxa" w:w="1728"/>
          </w:tcPr>
          <w:p>
            <w:r>
              <w:rPr>
                <w:rFonts w:ascii="Calibri" w:hAnsi="Calibri"/>
                <w:sz w:val="22"/>
              </w:rPr>
              <w:t>$0.78</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$0.46</w:t>
            </w:r>
          </w:p>
        </w:tc>
        <w:tc>
          <w:tcPr>
            <w:tcW w:type="dxa" w:w="1728"/>
          </w:tcPr>
          <w:p>
            <w:r>
              <w:rPr>
                <w:rFonts w:ascii="Calibri" w:hAnsi="Calibri"/>
                <w:sz w:val="22"/>
              </w:rPr>
              <w:t>$0.66</w:t>
            </w:r>
          </w:p>
        </w:tc>
        <w:tc>
          <w:tcPr>
            <w:tcW w:type="dxa" w:w="1728"/>
          </w:tcPr>
          <w:p>
            <w:r>
              <w:rPr>
                <w:rFonts w:ascii="Calibri" w:hAnsi="Calibri"/>
                <w:b/>
                <w:color w:val="E5484D"/>
                <w:sz w:val="22"/>
              </w:rPr>
              <w:t>-30.0%</w:t>
            </w:r>
          </w:p>
        </w:tc>
        <w:tc>
          <w:tcPr>
            <w:tcW w:type="dxa" w:w="1728"/>
          </w:tcPr>
          <w:p>
            <w:r>
              <w:rPr>
                <w:rFonts w:ascii="Calibri" w:hAnsi="Calibri"/>
                <w:sz w:val="22"/>
              </w:rPr>
              <w:t>Miss</w:t>
            </w:r>
          </w:p>
        </w:tc>
      </w:tr>
    </w:tbl>
    <w:p>
      <w:r>
        <w:rPr>
          <w:rFonts w:ascii="Calibri" w:hAnsi="Calibri"/>
          <w:i/>
          <w:color w:val="525866"/>
          <w:sz w:val="22"/>
        </w:rPr>
        <w:t>Source: Visible Alpha consensus and actuals data. BAX has beaten adjusted EPS in 6 of the last 8 quarters, but the misses have been severe (Q4 2025: -33%, Q2 2025: -10%, Q2 2024: -30%), reflecting the company's difficulty forecasting in a volatile operating environment. The Q1 2026 beat (+21%) was the largest positive EPS surprise in recent history, driven by a low bar and no material Novum returns.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reiterated in full at Q1 earnings with no changes to any metric — the baseline is intact. The only post-earnings structural development is the July 14 segment restructuring (8-K), which folds Pharmaceuticals into MPT effective Q2 2026, adding a comparability layer but not altering the financial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Reported Sales Growth</w:t>
            </w:r>
          </w:p>
        </w:tc>
        <w:tc>
          <w:tcPr>
            <w:tcW w:type="dxa" w:w="1728"/>
          </w:tcPr>
          <w:p>
            <w:r>
              <w:rPr>
                <w:rFonts w:ascii="Calibri" w:hAnsi="Calibri"/>
                <w:sz w:val="22"/>
              </w:rPr>
              <w:t>Flat to +1%</w:t>
            </w:r>
          </w:p>
        </w:tc>
        <w:tc>
          <w:tcPr>
            <w:tcW w:type="dxa" w:w="1728"/>
          </w:tcPr>
          <w:p>
            <w:r>
              <w:rPr>
                <w:rFonts w:ascii="Calibri" w:hAnsi="Calibri"/>
                <w:sz w:val="22"/>
              </w:rPr>
              <w:t>—</w:t>
            </w:r>
          </w:p>
        </w:tc>
        <w:tc>
          <w:tcPr>
            <w:tcW w:type="dxa" w:w="1728"/>
          </w:tcPr>
          <w:p>
            <w:r>
              <w:rPr>
                <w:rFonts w:ascii="Calibri" w:hAnsi="Calibri"/>
                <w:sz w:val="22"/>
              </w:rPr>
              <w:t>~flat (consensus ~$11.35B)</w:t>
            </w:r>
          </w:p>
        </w:tc>
        <w:tc>
          <w:tcPr>
            <w:tcW w:type="dxa" w:w="1728"/>
          </w:tcPr>
          <w:p>
            <w:r>
              <w:rPr>
                <w:rFonts w:ascii="Calibri" w:hAnsi="Calibri"/>
                <w:sz w:val="22"/>
              </w:rPr>
              <w:t>Unchanged; FX ~100bps tailwind; MSA ~30bps headwind</w:t>
            </w:r>
          </w:p>
        </w:tc>
      </w:tr>
      <w:tr>
        <w:tc>
          <w:tcPr>
            <w:tcW w:type="dxa" w:w="1728"/>
          </w:tcPr>
          <w:p>
            <w:r>
              <w:rPr>
                <w:rFonts w:ascii="Calibri" w:hAnsi="Calibri"/>
                <w:sz w:val="22"/>
              </w:rPr>
              <w:t>FY 2026 Organic Sales Growth</w:t>
            </w:r>
          </w:p>
        </w:tc>
        <w:tc>
          <w:tcPr>
            <w:tcW w:type="dxa" w:w="1728"/>
          </w:tcPr>
          <w:p>
            <w:r>
              <w:rPr>
                <w:rFonts w:ascii="Calibri" w:hAnsi="Calibri"/>
                <w:sz w:val="22"/>
              </w:rPr>
              <w:t>Approximately flat</w:t>
            </w:r>
          </w:p>
        </w:tc>
        <w:tc>
          <w:tcPr>
            <w:tcW w:type="dxa" w:w="1728"/>
          </w:tcPr>
          <w:p>
            <w:r>
              <w:rPr>
                <w:rFonts w:ascii="Calibri" w:hAnsi="Calibri"/>
                <w:sz w:val="22"/>
              </w:rPr>
              <w:t>—</w:t>
            </w:r>
          </w:p>
        </w:tc>
        <w:tc>
          <w:tcPr>
            <w:tcW w:type="dxa" w:w="1728"/>
          </w:tcPr>
          <w:p>
            <w:r>
              <w:rPr>
                <w:rFonts w:ascii="Calibri" w:hAnsi="Calibri"/>
                <w:sz w:val="22"/>
              </w:rPr>
              <w:t>Approximately flat</w:t>
            </w:r>
          </w:p>
        </w:tc>
        <w:tc>
          <w:tcPr>
            <w:tcW w:type="dxa" w:w="1728"/>
          </w:tcPr>
          <w:p>
            <w:r>
              <w:rPr>
                <w:rFonts w:ascii="Calibri" w:hAnsi="Calibri"/>
                <w:sz w:val="22"/>
              </w:rPr>
              <w:t>Unchanged; no segment-level organic assumption changes</w:t>
            </w:r>
          </w:p>
        </w:tc>
      </w:tr>
      <w:tr>
        <w:tc>
          <w:tcPr>
            <w:tcW w:type="dxa" w:w="1728"/>
          </w:tcPr>
          <w:p>
            <w:r>
              <w:rPr>
                <w:rFonts w:ascii="Calibri" w:hAnsi="Calibri"/>
                <w:sz w:val="22"/>
              </w:rPr>
              <w:t>FY 2026 Adj. EPS (Cont. Ops)</w:t>
            </w:r>
          </w:p>
        </w:tc>
        <w:tc>
          <w:tcPr>
            <w:tcW w:type="dxa" w:w="1728"/>
          </w:tcPr>
          <w:p>
            <w:r>
              <w:rPr>
                <w:rFonts w:ascii="Calibri" w:hAnsi="Calibri"/>
                <w:sz w:val="22"/>
              </w:rPr>
              <w:t>$1.85–$2.05</w:t>
            </w:r>
          </w:p>
        </w:tc>
        <w:tc>
          <w:tcPr>
            <w:tcW w:type="dxa" w:w="1728"/>
          </w:tcPr>
          <w:p>
            <w:r>
              <w:rPr>
                <w:rFonts w:ascii="Calibri" w:hAnsi="Calibri"/>
                <w:sz w:val="22"/>
              </w:rPr>
              <w:t>—</w:t>
            </w:r>
          </w:p>
        </w:tc>
        <w:tc>
          <w:tcPr>
            <w:tcW w:type="dxa" w:w="1728"/>
          </w:tcPr>
          <w:p>
            <w:r>
              <w:rPr>
                <w:rFonts w:ascii="Calibri" w:hAnsi="Calibri"/>
                <w:sz w:val="22"/>
              </w:rPr>
              <w:t>$1.91 (consensus)</w:t>
            </w:r>
          </w:p>
        </w:tc>
        <w:tc>
          <w:tcPr>
            <w:tcW w:type="dxa" w:w="1728"/>
          </w:tcPr>
          <w:p>
            <w:r>
              <w:rPr>
                <w:rFonts w:ascii="Calibri" w:hAnsi="Calibri"/>
                <w:sz w:val="22"/>
              </w:rPr>
              <w:t>Unchanged; consensus near low end, reflecting H2 skepticism</w:t>
            </w:r>
          </w:p>
        </w:tc>
      </w:tr>
      <w:tr>
        <w:tc>
          <w:tcPr>
            <w:tcW w:type="dxa" w:w="1728"/>
          </w:tcPr>
          <w:p>
            <w:r>
              <w:rPr>
                <w:rFonts w:ascii="Calibri" w:hAnsi="Calibri"/>
                <w:sz w:val="22"/>
              </w:rPr>
              <w:t>FY 2026 Adj. Operating Margin</w:t>
            </w:r>
          </w:p>
        </w:tc>
        <w:tc>
          <w:tcPr>
            <w:tcW w:type="dxa" w:w="1728"/>
          </w:tcPr>
          <w:p>
            <w:r>
              <w:rPr>
                <w:rFonts w:ascii="Calibri" w:hAnsi="Calibri"/>
                <w:sz w:val="22"/>
              </w:rPr>
              <w:t>13%–14%</w:t>
            </w:r>
          </w:p>
        </w:tc>
        <w:tc>
          <w:tcPr>
            <w:tcW w:type="dxa" w:w="1728"/>
          </w:tcPr>
          <w:p>
            <w:r>
              <w:rPr>
                <w:rFonts w:ascii="Calibri" w:hAnsi="Calibri"/>
                <w:sz w:val="22"/>
              </w:rPr>
              <w:t>—</w:t>
            </w:r>
          </w:p>
        </w:tc>
        <w:tc>
          <w:tcPr>
            <w:tcW w:type="dxa" w:w="1728"/>
          </w:tcPr>
          <w:p>
            <w:r>
              <w:rPr>
                <w:rFonts w:ascii="Calibri" w:hAnsi="Calibri"/>
                <w:sz w:val="22"/>
              </w:rPr>
              <w:t>~13.3% implied</w:t>
            </w:r>
          </w:p>
        </w:tc>
        <w:tc>
          <w:tcPr>
            <w:tcW w:type="dxa" w:w="1728"/>
          </w:tcPr>
          <w:p>
            <w:r>
              <w:rPr>
                <w:rFonts w:ascii="Calibri" w:hAnsi="Calibri"/>
                <w:sz w:val="22"/>
              </w:rPr>
              <w:t>Unchanged; requires ~500bps H1-to-H2 expansion</w:t>
            </w:r>
          </w:p>
        </w:tc>
      </w:tr>
      <w:tr>
        <w:tc>
          <w:tcPr>
            <w:tcW w:type="dxa" w:w="1728"/>
          </w:tcPr>
          <w:p>
            <w:r>
              <w:rPr>
                <w:rFonts w:ascii="Calibri" w:hAnsi="Calibri"/>
                <w:sz w:val="22"/>
              </w:rPr>
              <w:t>FY 2026 Tariff Impact (net)</w:t>
            </w:r>
          </w:p>
        </w:tc>
        <w:tc>
          <w:tcPr>
            <w:tcW w:type="dxa" w:w="1728"/>
          </w:tcPr>
          <w:p>
            <w:r>
              <w:rPr>
                <w:rFonts w:ascii="Calibri" w:hAnsi="Calibri"/>
                <w:sz w:val="22"/>
              </w:rPr>
              <w:t>~$80M ($40M YoY headwind)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fully incorporated in guidance</w:t>
            </w:r>
          </w:p>
        </w:tc>
      </w:tr>
      <w:tr>
        <w:tc>
          <w:tcPr>
            <w:tcW w:type="dxa" w:w="1728"/>
          </w:tcPr>
          <w:p>
            <w:r>
              <w:rPr>
                <w:rFonts w:ascii="Calibri" w:hAnsi="Calibri"/>
                <w:sz w:val="22"/>
              </w:rPr>
              <w:t>FY 2026 TSA Income</w:t>
            </w:r>
          </w:p>
        </w:tc>
        <w:tc>
          <w:tcPr>
            <w:tcW w:type="dxa" w:w="1728"/>
          </w:tcPr>
          <w:p>
            <w:r>
              <w:rPr>
                <w:rFonts w:ascii="Calibri" w:hAnsi="Calibri"/>
                <w:sz w:val="22"/>
              </w:rPr>
              <w:t>$130M–$140M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roll-off in 2027 being actively managed</w:t>
            </w:r>
          </w:p>
        </w:tc>
      </w:tr>
      <w:tr>
        <w:tc>
          <w:tcPr>
            <w:tcW w:type="dxa" w:w="1728"/>
          </w:tcPr>
          <w:p>
            <w:r>
              <w:rPr>
                <w:rFonts w:ascii="Calibri" w:hAnsi="Calibri"/>
                <w:sz w:val="22"/>
              </w:rPr>
              <w:t>Q2 2026 Earnings Tone</w:t>
            </w:r>
          </w:p>
        </w:tc>
        <w:tc>
          <w:tcPr>
            <w:tcW w:type="dxa" w:w="1728"/>
          </w:tcPr>
          <w:p>
            <w:r>
              <w:rPr>
                <w:rFonts w:ascii="Calibri" w:hAnsi="Calibri"/>
                <w:sz w:val="22"/>
              </w:rPr>
              <w:t>"Similar to Q1 with slight volume improvement"</w:t>
            </w:r>
          </w:p>
        </w:tc>
        <w:tc>
          <w:tcPr>
            <w:tcW w:type="dxa" w:w="1728"/>
          </w:tcPr>
          <w:p>
            <w:r>
              <w:rPr>
                <w:rFonts w:ascii="Calibri" w:hAnsi="Calibri"/>
                <w:sz w:val="22"/>
              </w:rPr>
              <w:t>—</w:t>
            </w:r>
          </w:p>
        </w:tc>
        <w:tc>
          <w:tcPr>
            <w:tcW w:type="dxa" w:w="1728"/>
          </w:tcPr>
          <w:p>
            <w:r>
              <w:rPr>
                <w:rFonts w:ascii="Calibri" w:hAnsi="Calibri"/>
                <w:sz w:val="22"/>
              </w:rPr>
              <w:t>Adj. EPS ~$0.37</w:t>
            </w:r>
          </w:p>
        </w:tc>
        <w:tc>
          <w:tcPr>
            <w:tcW w:type="dxa" w:w="1728"/>
          </w:tcPr>
          <w:p>
            <w:r>
              <w:rPr>
                <w:rFonts w:ascii="Calibri" w:hAnsi="Calibri"/>
                <w:sz w:val="22"/>
              </w:rPr>
              <w:t>ITT absorption headwinds expected more pronounced in Q2</w:t>
            </w:r>
          </w:p>
        </w:tc>
      </w:tr>
      <w:tr>
        <w:tc>
          <w:tcPr>
            <w:tcW w:type="dxa" w:w="1728"/>
          </w:tcPr>
          <w:p>
            <w:r>
              <w:rPr>
                <w:rFonts w:ascii="Calibri" w:hAnsi="Calibri"/>
                <w:sz w:val="22"/>
              </w:rPr>
              <w:t>Segment Structure (eff. Q2 2026)</w:t>
            </w:r>
          </w:p>
        </w:tc>
        <w:tc>
          <w:tcPr>
            <w:tcW w:type="dxa" w:w="1728"/>
          </w:tcPr>
          <w:p>
            <w:r>
              <w:rPr>
                <w:rFonts w:ascii="Calibri" w:hAnsi="Calibri"/>
                <w:sz w:val="22"/>
              </w:rPr>
              <w:t>3 segments: MPT, HST, Pharma</w:t>
            </w:r>
          </w:p>
        </w:tc>
        <w:tc>
          <w:tcPr>
            <w:tcW w:type="dxa" w:w="1728"/>
          </w:tcPr>
          <w:p>
            <w:r>
              <w:rPr>
                <w:rFonts w:ascii="Calibri" w:hAnsi="Calibri"/>
                <w:sz w:val="22"/>
              </w:rPr>
              <w:t>2 segments: MPT (incl. Pharma/ITP) + HST — 8-K July 14, 2026</w:t>
            </w:r>
          </w:p>
        </w:tc>
        <w:tc>
          <w:tcPr>
            <w:tcW w:type="dxa" w:w="1728"/>
          </w:tcPr>
          <w:p>
            <w:r>
              <w:rPr>
                <w:rFonts w:ascii="Calibri" w:hAnsi="Calibri"/>
                <w:sz w:val="22"/>
              </w:rPr>
              <w:t>N/A</w:t>
            </w:r>
          </w:p>
        </w:tc>
        <w:tc>
          <w:tcPr>
            <w:tcW w:type="dxa" w:w="1728"/>
          </w:tcPr>
          <w:p>
            <w:r>
              <w:rPr>
                <w:rFonts w:ascii="Calibri" w:hAnsi="Calibri"/>
                <w:sz w:val="22"/>
              </w:rPr>
              <w:t>Structural change only; no P&amp;L impact; historical financials recast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been essentially stable since Q1 earnings — the Street took management's "similar to Q1" guidance at face value. For FY 2026, consensus EPS sits near the low end of the $1.85–$2.05 guidance range ($1.91), reflecting the market's skepticism that the H2 margin recovery will fully materialize. </w:t>
      </w:r>
      <w:r>
        <w:rPr>
          <w:rFonts w:ascii="Calibri" w:hAnsi="Calibri"/>
          <w:b/>
          <w:color w:val="525866"/>
          <w:sz w:val="22"/>
        </w:rPr>
        <w:t>The gap between guidance midpoint ($1.95) and consensus ($1.91) is a modest cushion, not a risk</w:t>
      </w:r>
      <w:r>
        <w:rPr>
          <w:rFonts w:ascii="Calibri" w:hAnsi="Calibri"/>
          <w:color w:val="525866"/>
          <w:sz w:val="22"/>
        </w:rPr>
        <w:t xml:space="preserve"> — but any guidance trim would be disproportionately punished given the stock's re-rating.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Delta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Delta</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$2.798B</w:t>
            </w:r>
          </w:p>
        </w:tc>
        <w:tc>
          <w:tcPr>
            <w:tcW w:type="dxa" w:w="1080"/>
          </w:tcPr>
          <w:p>
            <w:r>
              <w:rPr>
                <w:rFonts w:ascii="Calibri" w:hAnsi="Calibri"/>
                <w:sz w:val="22"/>
              </w:rPr>
              <w:t>$2.794B</w:t>
            </w:r>
          </w:p>
        </w:tc>
        <w:tc>
          <w:tcPr>
            <w:tcW w:type="dxa" w:w="1080"/>
          </w:tcPr>
          <w:p>
            <w:r>
              <w:rPr>
                <w:rFonts w:ascii="Calibri" w:hAnsi="Calibri"/>
                <w:sz w:val="22"/>
              </w:rPr>
              <w:t>-0.1%</w:t>
            </w:r>
          </w:p>
        </w:tc>
        <w:tc>
          <w:tcPr>
            <w:tcW w:type="dxa" w:w="1080"/>
          </w:tcPr>
          <w:p>
            <w:r>
              <w:rPr>
                <w:rFonts w:ascii="Calibri" w:hAnsi="Calibri"/>
                <w:sz w:val="22"/>
              </w:rPr>
              <w:t>"Similar to Q1" (~$2.70B)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 above Q1 actual</w:t>
            </w:r>
          </w:p>
        </w:tc>
      </w:tr>
      <w:tr>
        <w:tc>
          <w:tcPr>
            <w:tcW w:type="dxa" w:w="1080"/>
          </w:tcPr>
          <w:p>
            <w:r>
              <w:rPr>
                <w:rFonts w:ascii="Calibri" w:hAnsi="Calibri"/>
                <w:sz w:val="22"/>
              </w:rPr>
              <w:t>Adj. EPS — Q2 2026</w:t>
            </w:r>
          </w:p>
        </w:tc>
        <w:tc>
          <w:tcPr>
            <w:tcW w:type="dxa" w:w="1080"/>
          </w:tcPr>
          <w:p>
            <w:r>
              <w:rPr>
                <w:rFonts w:ascii="Calibri" w:hAnsi="Calibri"/>
                <w:sz w:val="22"/>
              </w:rPr>
              <w:t>$0.37</w:t>
            </w:r>
          </w:p>
        </w:tc>
        <w:tc>
          <w:tcPr>
            <w:tcW w:type="dxa" w:w="1080"/>
          </w:tcPr>
          <w:p>
            <w:r>
              <w:rPr>
                <w:rFonts w:ascii="Calibri" w:hAnsi="Calibri"/>
                <w:sz w:val="22"/>
              </w:rPr>
              <w:t>$0.37</w:t>
            </w:r>
          </w:p>
        </w:tc>
        <w:tc>
          <w:tcPr>
            <w:tcW w:type="dxa" w:w="1080"/>
          </w:tcPr>
          <w:p>
            <w:r>
              <w:rPr>
                <w:rFonts w:ascii="Calibri" w:hAnsi="Calibri"/>
                <w:sz w:val="22"/>
              </w:rPr>
              <w:t>0.0%</w:t>
            </w:r>
          </w:p>
        </w:tc>
        <w:tc>
          <w:tcPr>
            <w:tcW w:type="dxa" w:w="1080"/>
          </w:tcPr>
          <w:p>
            <w:r>
              <w:rPr>
                <w:rFonts w:ascii="Calibri" w:hAnsi="Calibri"/>
                <w:sz w:val="22"/>
              </w:rPr>
              <w:t>"Similar to Q1" ($0.36)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+2.8% above Q1 actual</w:t>
            </w:r>
          </w:p>
        </w:tc>
      </w:tr>
      <w:tr>
        <w:tc>
          <w:tcPr>
            <w:tcW w:type="dxa" w:w="1080"/>
          </w:tcPr>
          <w:p>
            <w:r>
              <w:rPr>
                <w:rFonts w:ascii="Calibri" w:hAnsi="Calibri"/>
                <w:sz w:val="22"/>
              </w:rPr>
              <w:t>Total Revenue — FY 2026</w:t>
            </w:r>
          </w:p>
        </w:tc>
        <w:tc>
          <w:tcPr>
            <w:tcW w:type="dxa" w:w="1080"/>
          </w:tcPr>
          <w:p>
            <w:r>
              <w:rPr>
                <w:rFonts w:ascii="Calibri" w:hAnsi="Calibri"/>
                <w:sz w:val="22"/>
              </w:rPr>
              <w:t>$11.366B</w:t>
            </w:r>
          </w:p>
        </w:tc>
        <w:tc>
          <w:tcPr>
            <w:tcW w:type="dxa" w:w="1080"/>
          </w:tcPr>
          <w:p>
            <w:r>
              <w:rPr>
                <w:rFonts w:ascii="Calibri" w:hAnsi="Calibri"/>
                <w:sz w:val="22"/>
              </w:rPr>
              <w:t>$11.353B</w:t>
            </w:r>
          </w:p>
        </w:tc>
        <w:tc>
          <w:tcPr>
            <w:tcW w:type="dxa" w:w="1080"/>
          </w:tcPr>
          <w:p>
            <w:r>
              <w:rPr>
                <w:rFonts w:ascii="Calibri" w:hAnsi="Calibri"/>
                <w:sz w:val="22"/>
              </w:rPr>
              <w:t>-0.1%</w:t>
            </w:r>
          </w:p>
        </w:tc>
        <w:tc>
          <w:tcPr>
            <w:tcW w:type="dxa" w:w="1080"/>
          </w:tcPr>
          <w:p>
            <w:r>
              <w:rPr>
                <w:rFonts w:ascii="Calibri" w:hAnsi="Calibri"/>
                <w:sz w:val="22"/>
              </w:rPr>
              <w:t>Flat to +1% reported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r>
        <w:tc>
          <w:tcPr>
            <w:tcW w:type="dxa" w:w="1080"/>
          </w:tcPr>
          <w:p>
            <w:r>
              <w:rPr>
                <w:rFonts w:ascii="Calibri" w:hAnsi="Calibri"/>
                <w:sz w:val="22"/>
              </w:rPr>
              <w:t>Adj. EPS — FY 2026</w:t>
            </w:r>
          </w:p>
        </w:tc>
        <w:tc>
          <w:tcPr>
            <w:tcW w:type="dxa" w:w="1080"/>
          </w:tcPr>
          <w:p>
            <w:r>
              <w:rPr>
                <w:rFonts w:ascii="Calibri" w:hAnsi="Calibri"/>
                <w:sz w:val="22"/>
              </w:rPr>
              <w:t>$1.89</w:t>
            </w:r>
          </w:p>
        </w:tc>
        <w:tc>
          <w:tcPr>
            <w:tcW w:type="dxa" w:w="1080"/>
          </w:tcPr>
          <w:p>
            <w:r>
              <w:rPr>
                <w:rFonts w:ascii="Calibri" w:hAnsi="Calibri"/>
                <w:sz w:val="22"/>
              </w:rPr>
              <w:t>$1.91</w:t>
            </w:r>
          </w:p>
        </w:tc>
        <w:tc>
          <w:tcPr>
            <w:tcW w:type="dxa" w:w="1080"/>
          </w:tcPr>
          <w:p>
            <w:r>
              <w:rPr>
                <w:rFonts w:ascii="Calibri" w:hAnsi="Calibri"/>
                <w:sz w:val="22"/>
              </w:rPr>
              <w:t>+1.1%</w:t>
            </w:r>
          </w:p>
        </w:tc>
        <w:tc>
          <w:tcPr>
            <w:tcW w:type="dxa" w:w="1080"/>
          </w:tcPr>
          <w:p>
            <w:r>
              <w:rPr>
                <w:rFonts w:ascii="Calibri" w:hAnsi="Calibri"/>
                <w:sz w:val="22"/>
              </w:rPr>
              <w:t>$1.85–$2.05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-2.1% below midpoint ($1.95)</w:t>
            </w:r>
          </w:p>
        </w:tc>
      </w:tr>
      <w:tr>
        <w:tc>
          <w:tcPr>
            <w:tcW w:type="dxa" w:w="1080"/>
          </w:tcPr>
          <w:p>
            <w:r>
              <w:rPr>
                <w:rFonts w:ascii="Calibri" w:hAnsi="Calibri"/>
                <w:sz w:val="22"/>
              </w:rPr>
              <w:t>Adj. Operating Income — Q2 2026</w:t>
            </w:r>
          </w:p>
        </w:tc>
        <w:tc>
          <w:tcPr>
            <w:tcW w:type="dxa" w:w="1080"/>
          </w:tcPr>
          <w:p>
            <w:r>
              <w:rPr>
                <w:rFonts w:ascii="Calibri" w:hAnsi="Calibri"/>
                <w:sz w:val="22"/>
              </w:rPr>
              <w:t>$305M</w:t>
            </w:r>
          </w:p>
        </w:tc>
        <w:tc>
          <w:tcPr>
            <w:tcW w:type="dxa" w:w="1080"/>
          </w:tcPr>
          <w:p>
            <w:r>
              <w:rPr>
                <w:rFonts w:ascii="Calibri" w:hAnsi="Calibri"/>
                <w:sz w:val="22"/>
              </w:rPr>
              <w:t>$306M</w:t>
            </w:r>
          </w:p>
        </w:tc>
        <w:tc>
          <w:tcPr>
            <w:tcW w:type="dxa" w:w="1080"/>
          </w:tcPr>
          <w:p>
            <w:r>
              <w:rPr>
                <w:rFonts w:ascii="Calibri" w:hAnsi="Calibri"/>
                <w:sz w:val="22"/>
              </w:rPr>
              <w:t>+0.3%</w:t>
            </w:r>
          </w:p>
        </w:tc>
        <w:tc>
          <w:tcPr>
            <w:tcW w:type="dxa" w:w="1080"/>
          </w:tcPr>
          <w:p>
            <w:r>
              <w:rPr>
                <w:rFonts w:ascii="Calibri" w:hAnsi="Calibri"/>
                <w:sz w:val="22"/>
              </w:rPr>
              <w:t>~11% margin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Q1 actual ($297M)</w:t>
            </w:r>
          </w:p>
        </w:tc>
      </w:tr>
      <w:tr>
        <w:tc>
          <w:tcPr>
            <w:tcW w:type="dxa" w:w="1080"/>
          </w:tcPr>
          <w:p>
            <w:r>
              <w:rPr>
                <w:rFonts w:ascii="Calibri" w:hAnsi="Calibri"/>
                <w:sz w:val="22"/>
              </w:rPr>
              <w:t>Adj. Operating Income — FY 2026</w:t>
            </w:r>
          </w:p>
        </w:tc>
        <w:tc>
          <w:tcPr>
            <w:tcW w:type="dxa" w:w="1080"/>
          </w:tcPr>
          <w:p>
            <w:r>
              <w:rPr>
                <w:rFonts w:ascii="Calibri" w:hAnsi="Calibri"/>
                <w:sz w:val="22"/>
              </w:rPr>
              <w:t>$1.509B</w:t>
            </w:r>
          </w:p>
        </w:tc>
        <w:tc>
          <w:tcPr>
            <w:tcW w:type="dxa" w:w="1080"/>
          </w:tcPr>
          <w:p>
            <w:r>
              <w:rPr>
                <w:rFonts w:ascii="Calibri" w:hAnsi="Calibri"/>
                <w:sz w:val="22"/>
              </w:rPr>
              <w:t>$1.513B</w:t>
            </w:r>
          </w:p>
        </w:tc>
        <w:tc>
          <w:tcPr>
            <w:tcW w:type="dxa" w:w="1080"/>
          </w:tcPr>
          <w:p>
            <w:r>
              <w:rPr>
                <w:rFonts w:ascii="Calibri" w:hAnsi="Calibri"/>
                <w:sz w:val="22"/>
              </w:rPr>
              <w:t>+0.3%</w:t>
            </w:r>
          </w:p>
        </w:tc>
        <w:tc>
          <w:tcPr>
            <w:tcW w:type="dxa" w:w="1080"/>
          </w:tcPr>
          <w:p>
            <w:r>
              <w:rPr>
                <w:rFonts w:ascii="Calibri" w:hAnsi="Calibri"/>
                <w:sz w:val="22"/>
              </w:rPr>
              <w:t>13%–14%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~13.3% implied; near low end of range</w:t>
            </w:r>
          </w:p>
        </w:tc>
      </w:tr>
    </w:tbl>
    <w:p>
      <w:r>
        <w:rPr>
          <w:rFonts w:ascii="Calibri" w:hAnsi="Calibri"/>
          <w:i/>
          <w:color w:val="525866"/>
          <w:sz w:val="22"/>
        </w:rPr>
        <w:t>Source: Visible Alpha consensus data (as of May 7, 2026 and current). Guidance from Q1 2026 earnings call (April 30, 2026). Estimates have been remarkably stable since Q1 earnings, tracking management's explicit "similar to Q1" guidance for Q2. The FY 2026 consensus EPS of $1.91 sits near the low end of the $1.85–$2.05 range, implying the Street is not fully crediting the H2 recovery bridge. A clean Q2 print with no guidance trim would likely push estimates toward the midpoint.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BAX has dramatically outperformed since Q1 earnings (+41% vs. IHI +4%, SPY +2%), driven almost entirely by sentiment re-rating and short-covering from deeply depressed levels — not by estimate revisions, which have been flat. </w:t>
      </w:r>
      <w:r>
        <w:rPr>
          <w:rFonts w:ascii="Calibri" w:hAnsi="Calibri"/>
          <w:b/>
          <w:color w:val="525866"/>
          <w:sz w:val="22"/>
        </w:rPr>
        <w:t>The stock's re-rating from near multi-year lows is a double-edged setup</w:t>
      </w:r>
      <w:r>
        <w:rPr>
          <w:rFonts w:ascii="Calibri" w:hAnsi="Calibri"/>
          <w:color w:val="525866"/>
          <w:sz w:val="22"/>
        </w:rPr>
        <w:t>: the turnaround narrative is now partially priced in, raising the bar for Q2 to sustain momentum.</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BAX vs. IHI (iShares U.S. Medical Devices ETF) vs. S&amp;P 500 — Indexed to 100 at Q1 2026 Earnings (April 30, 2026). BAX +41%, IHI +4%, SPY +2% through July 30, 2026. Vertical dashed line marks the July 14, 2026 segment restructuring 8-K filing.</w:t>
      </w:r>
    </w:p>
    <w:p>
      <w:r>
        <w:rPr>
          <w:rFonts w:ascii="Calibri" w:hAnsi="Calibri"/>
          <w:color w:val="525866"/>
          <w:sz w:val="22"/>
        </w:rPr>
        <w:t>BAX rallied sharply off Q1 earnings on April 30 (stock rose from ~$16.90 pre-earnings to $17.58 on the day), then continued to grind higher through May and June as the turnaround narrative gained traction. The stock accelerated in late June and July, reaching $24.77 by July 30 — a 41% gain from the Q1 earnings close. This move was driven by sentiment re-rating and short-covering from near multi-year lows, not by upward estimate revisions (which were flat). The IHI ETF gained only 4% over the same period, and the S&amp;P 500 gained 2%, confirming BAX's outperformance was company-specific. The July 14 segment restructuring 8-K caused a brief pullback (stock fell from $22.57 to $21.80) before recovering. Analyst actions were mixed: Barclays raised its target to $27 (Overweight), Goldman Sachs raised to $21 (Neutral), Stifel raised to $24 (Hold), TD Cowen raised to $24 (Hold), while Citi downgraded to Sell ($17 target) in late May and Zacks downgraded to Strong Sell in mid-July.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14 segment restructuring — folding Pharmaceuticals into MPT — which changes how Q2 results will be reported and adds a comparability layer. The Citi downgrade to Sell in late May was the most significant negative signal, citing a tough road ahead despite the stock's rally.</w:t>
      </w:r>
    </w:p>
    <w:p>
      <w:pPr>
        <w:pStyle w:val="ListBullet"/>
        <w:ind w:left="360" w:hanging="360"/>
      </w:pPr>
      <w:r>
        <w:rPr>
          <w:rFonts w:ascii="Calibri" w:hAnsi="Calibri"/>
          <w:b/>
          <w:color w:val="525866"/>
          <w:sz w:val="22"/>
        </w:rPr>
        <w:t>July 14, 2026 — Segment Restructuring (8-K):</w:t>
      </w:r>
      <w:r>
        <w:rPr>
          <w:rFonts w:ascii="Calibri" w:hAnsi="Calibri"/>
          <w:color w:val="525866"/>
          <w:sz w:val="22"/>
        </w:rPr>
        <w:t xml:space="preserve"> Baxter filed an 8-K recasting historical financials under a new two-segment structure effective Q2 2026: Medical Products &amp; Therapies (MPT, now including the former Pharmaceuticals segment as the Infusion Therapies &amp; Platforms division) and Healthcare Systems &amp; Technologies (HST, unchanged). Corporate costs previously allocated to segments will now remain unallocated. No P&amp;L impact, but Q2 results will not be directly comparable to prior-period three-segment reporting. </w:t>
      </w:r>
      <w:r>
        <w:rPr>
          <w:rFonts w:ascii="Calibri" w:hAnsi="Calibri"/>
          <w:i/>
          <w:color w:val="525866"/>
          <w:sz w:val="22"/>
        </w:rPr>
        <w:t>Implication:</w:t>
      </w:r>
      <w:r>
        <w:rPr>
          <w:rFonts w:ascii="Calibri" w:hAnsi="Calibri"/>
          <w:i/>
          <w:color w:val="525866"/>
          <w:sz w:val="22"/>
        </w:rPr>
        <w:t xml:space="preserve"> Investors will need to use recast historical data to assess segment performance; the restructuring also signals management's view that Pharma and infusion have aligned selling processes and customer workflows.</w:t>
      </w:r>
    </w:p>
    <w:p>
      <w:pPr>
        <w:pStyle w:val="ListBullet"/>
        <w:ind w:left="360" w:hanging="360"/>
      </w:pPr>
      <w:r>
        <w:rPr>
          <w:rFonts w:ascii="Calibri" w:hAnsi="Calibri"/>
          <w:b/>
          <w:color w:val="525866"/>
          <w:sz w:val="22"/>
        </w:rPr>
        <w:t>May 28, 2026 — Citi Downgrade to Sell ($17 target):</w:t>
      </w:r>
      <w:r>
        <w:rPr>
          <w:rFonts w:ascii="Calibri" w:hAnsi="Calibri"/>
          <w:color w:val="525866"/>
          <w:sz w:val="22"/>
        </w:rPr>
        <w:t xml:space="preserve"> Citi analyst Joanne Wuensch downgraded BAX from Neutral to Sell, cutting the price target from $19 to $17, citing a tough road ahead despite the stock's post-Q1 rally. </w:t>
      </w:r>
      <w:r>
        <w:rPr>
          <w:rFonts w:ascii="Calibri" w:hAnsi="Calibri"/>
          <w:i/>
          <w:color w:val="525866"/>
          <w:sz w:val="22"/>
        </w:rPr>
        <w:t>Implication:</w:t>
      </w:r>
      <w:r>
        <w:rPr>
          <w:rFonts w:ascii="Calibri" w:hAnsi="Calibri"/>
          <w:i/>
          <w:color w:val="525866"/>
          <w:sz w:val="22"/>
        </w:rPr>
        <w:t xml:space="preserve"> Most bearish sell-side action since Q1 earnings; reflects concern that the H2 recovery thesis is not credible at the stock's then-current price (~$19).</w:t>
      </w:r>
    </w:p>
    <w:p>
      <w:pPr>
        <w:pStyle w:val="ListBullet"/>
        <w:ind w:left="360" w:hanging="360"/>
      </w:pPr>
      <w:r>
        <w:rPr>
          <w:rFonts w:ascii="Calibri" w:hAnsi="Calibri"/>
          <w:b/>
          <w:color w:val="525866"/>
          <w:sz w:val="22"/>
        </w:rPr>
        <w:t>May 8, 2026 — Shareholder Meeting / Incentive Plan (8-K):</w:t>
      </w:r>
      <w:r>
        <w:rPr>
          <w:rFonts w:ascii="Calibri" w:hAnsi="Calibri"/>
          <w:color w:val="525866"/>
          <w:sz w:val="22"/>
        </w:rPr>
        <w:t xml:space="preserve"> Shareholders approved a 20 million share incentive boost; company updated executive severance plan. </w:t>
      </w:r>
      <w:r>
        <w:rPr>
          <w:rFonts w:ascii="Calibri" w:hAnsi="Calibri"/>
          <w:i/>
          <w:color w:val="525866"/>
          <w:sz w:val="22"/>
        </w:rPr>
        <w:t>Implication:</w:t>
      </w:r>
      <w:r>
        <w:rPr>
          <w:rFonts w:ascii="Calibri" w:hAnsi="Calibri"/>
          <w:i/>
          <w:color w:val="525866"/>
          <w:sz w:val="22"/>
        </w:rPr>
        <w:t xml:space="preserve"> Signals board commitment to retaining and incentivizing management through the turnaround; dilution from new share grants is modest relative to ~518M diluted share count.</w:t>
      </w:r>
    </w:p>
    <w:p>
      <w:pPr>
        <w:pStyle w:val="ListBullet"/>
        <w:ind w:left="360" w:hanging="360"/>
      </w:pPr>
      <w:r>
        <w:rPr>
          <w:rFonts w:ascii="Calibri" w:hAnsi="Calibri"/>
          <w:b/>
          <w:color w:val="525866"/>
          <w:sz w:val="22"/>
        </w:rPr>
        <w:t>May 1, 2026 — Analyst Rating Actions (Post-Q1 Earnings):</w:t>
      </w:r>
      <w:r>
        <w:rPr>
          <w:rFonts w:ascii="Calibri" w:hAnsi="Calibri"/>
          <w:color w:val="525866"/>
          <w:sz w:val="22"/>
        </w:rPr>
        <w:t xml:space="preserve"> Barclays raised target to $27 (Overweight); TD Cowen cut target to $20 (Hold); Stifel cut target to $19 (Hold). Mixed signals reflecting divergent views on H2 recovery credibility. </w:t>
      </w:r>
      <w:r>
        <w:rPr>
          <w:rFonts w:ascii="Calibri" w:hAnsi="Calibri"/>
          <w:i/>
          <w:color w:val="525866"/>
          <w:sz w:val="22"/>
        </w:rPr>
        <w:t>Implication:</w:t>
      </w:r>
      <w:r>
        <w:rPr>
          <w:rFonts w:ascii="Calibri" w:hAnsi="Calibri"/>
          <w:i/>
          <w:color w:val="525866"/>
          <w:sz w:val="22"/>
        </w:rPr>
        <w:t xml:space="preserve"> Barclays is the most constructive large-cap sell-side voice; TD Cowen and Stifel skeptical on near-term upside.</w:t>
      </w:r>
    </w:p>
    <w:p>
      <w:pPr>
        <w:pStyle w:val="ListBullet"/>
        <w:ind w:left="360" w:hanging="360"/>
      </w:pPr>
      <w:r>
        <w:rPr>
          <w:rFonts w:ascii="Calibri" w:hAnsi="Calibri"/>
          <w:b/>
          <w:color w:val="525866"/>
          <w:sz w:val="22"/>
        </w:rPr>
        <w:t>July 15, 2026 — Zacks Downgrade to Strong Sell:</w:t>
      </w:r>
      <w:r>
        <w:rPr>
          <w:rFonts w:ascii="Calibri" w:hAnsi="Calibri"/>
          <w:color w:val="525866"/>
          <w:sz w:val="22"/>
        </w:rPr>
        <w:t xml:space="preserve"> Zacks cut BAX to Strong Sell and reduced earnings estimates across Q2 2026, FY2026, FY2027, and FY2028. </w:t>
      </w:r>
      <w:r>
        <w:rPr>
          <w:rFonts w:ascii="Calibri" w:hAnsi="Calibri"/>
          <w:i/>
          <w:color w:val="525866"/>
          <w:sz w:val="22"/>
        </w:rPr>
        <w:t>Implication:</w:t>
      </w:r>
      <w:r>
        <w:rPr>
          <w:rFonts w:ascii="Calibri" w:hAnsi="Calibri"/>
          <w:i/>
          <w:color w:val="525866"/>
          <w:sz w:val="22"/>
        </w:rPr>
        <w:t xml:space="preserve"> Quantitative/model-driven downgrade; reflects concern that the stock's +41% rally has outrun fundamental improvement in estimates.</w:t>
      </w:r>
    </w:p>
    <w:p>
      <w:pPr>
        <w:pStyle w:val="ListBullet"/>
        <w:ind w:left="360" w:hanging="360"/>
      </w:pPr>
      <w:r>
        <w:rPr>
          <w:rFonts w:ascii="Calibri" w:hAnsi="Calibri"/>
          <w:b/>
          <w:color w:val="525866"/>
          <w:sz w:val="22"/>
        </w:rPr>
        <w:t>July 9, 2026 — Q2 2026 Conference Call Announcement:</w:t>
      </w:r>
      <w:r>
        <w:rPr>
          <w:rFonts w:ascii="Calibri" w:hAnsi="Calibri"/>
          <w:color w:val="525866"/>
          <w:sz w:val="22"/>
        </w:rPr>
        <w:t xml:space="preserve"> Baxter announced it will host a Q2 2026 financial results conference call for investors. Exact date not yet disclosed as of July 29, 2026. </w:t>
      </w:r>
      <w:r>
        <w:rPr>
          <w:rFonts w:ascii="Calibri" w:hAnsi="Calibri"/>
          <w:i/>
          <w:color w:val="525866"/>
          <w:sz w:val="22"/>
        </w:rPr>
        <w:t>Implication:</w:t>
      </w:r>
      <w:r>
        <w:rPr>
          <w:rFonts w:ascii="Calibri" w:hAnsi="Calibri"/>
          <w:i/>
          <w:color w:val="525866"/>
          <w:sz w:val="22"/>
        </w:rPr>
        <w:t xml:space="preserve"> Earnings are imminent; the announcement itself is routine but confirms the print is approaching.</w:t>
      </w:r>
    </w:p>
    <w:p>
      <w:pPr>
        <w:pStyle w:val="ListBullet"/>
        <w:ind w:left="360" w:hanging="360"/>
      </w:pPr>
      <w:r>
        <w:rPr>
          <w:rFonts w:ascii="Calibri" w:hAnsi="Calibri"/>
          <w:b/>
          <w:color w:val="525866"/>
          <w:sz w:val="22"/>
        </w:rPr>
        <w:t>Ongoing — Novum IQ LVP Ship Hold:</w:t>
      </w:r>
      <w:r>
        <w:rPr>
          <w:rFonts w:ascii="Calibri" w:hAnsi="Calibri"/>
          <w:color w:val="525866"/>
          <w:sz w:val="22"/>
        </w:rPr>
        <w:t xml:space="preserve"> The shipment and installation hold on the Novum IQ LVP pump remains in place for all of 2026 per guidance assumptions. No material returns were observed in Q1, but risk remains in guidance. Q2 is the last quarter before the Novum headwind laps. </w:t>
      </w:r>
      <w:r>
        <w:rPr>
          <w:rFonts w:ascii="Calibri" w:hAnsi="Calibri"/>
          <w:i/>
          <w:color w:val="525866"/>
          <w:sz w:val="22"/>
        </w:rPr>
        <w:t>Implication:</w:t>
      </w:r>
      <w:r>
        <w:rPr>
          <w:rFonts w:ascii="Calibri" w:hAnsi="Calibri"/>
          <w:i/>
          <w:color w:val="525866"/>
          <w:sz w:val="22"/>
        </w:rPr>
        <w:t xml:space="preserve"> Any update on Novum resolution timeline — positive or negative — would be the single largest catalyst for the stock.</w:t>
      </w:r>
    </w:p>
    <w:p>
      <w:pPr>
        <w:pStyle w:val="ListBullet"/>
        <w:ind w:left="360" w:hanging="360"/>
      </w:pPr>
      <w:r>
        <w:rPr>
          <w:rFonts w:ascii="Calibri" w:hAnsi="Calibri"/>
          <w:b/>
          <w:color w:val="525866"/>
          <w:sz w:val="22"/>
        </w:rPr>
        <w:t>Ongoing — Contract Manufacturer Supply Disruption (Injectables):</w:t>
      </w:r>
      <w:r>
        <w:rPr>
          <w:rFonts w:ascii="Calibri" w:hAnsi="Calibri"/>
          <w:color w:val="525866"/>
          <w:sz w:val="22"/>
        </w:rPr>
        <w:t xml:space="preserve"> Limited supply from a disrupted contract manufacturer is expected to persist into 2027, compounding softness in premixed products and inhaled anesthesia. </w:t>
      </w:r>
      <w:r>
        <w:rPr>
          <w:rFonts w:ascii="Calibri" w:hAnsi="Calibri"/>
          <w:i/>
          <w:color w:val="525866"/>
          <w:sz w:val="22"/>
        </w:rPr>
        <w:t>Implication:</w:t>
      </w:r>
      <w:r>
        <w:rPr>
          <w:rFonts w:ascii="Calibri" w:hAnsi="Calibri"/>
          <w:i/>
          <w:color w:val="525866"/>
          <w:sz w:val="22"/>
        </w:rPr>
        <w:t xml:space="preserve"> This is a multi-quarter headwind that extends beyond 2026 and limits the Pharmaceuticals/ITP segment's recovery trajectory.</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Q2 2026 reporting peers (BD, Abbott, Medtronic) is broadly constructive on medtech demand and procedure volumes, which is a positive read-through for BAX's HST segment. However, </w:t>
      </w:r>
      <w:r>
        <w:rPr>
          <w:rFonts w:ascii="Calibri" w:hAnsi="Calibri"/>
          <w:b/>
          <w:color w:val="525866"/>
          <w:sz w:val="22"/>
        </w:rPr>
        <w:t>BD's specific commentary on infusion sets and Alaris share gains is a direct competitive read-through for BAX's ITT division</w:t>
      </w:r>
      <w:r>
        <w:rPr>
          <w:rFonts w:ascii="Calibri" w:hAnsi="Calibri"/>
          <w:color w:val="525866"/>
          <w:sz w:val="22"/>
        </w:rPr>
        <w:t xml:space="preserve"> — BD is gaining pump share while BAX's Novum is on hold, and infusion set utilization is recovering from last year's fluid shortage, which is a tailwind for BAX's IV solutions business.</w:t>
      </w:r>
    </w:p>
    <w:p>
      <w:r>
        <w:rPr>
          <w:rFonts w:ascii="Calibri" w:hAnsi="Calibri"/>
          <w:i/>
          <w:color w:val="525866"/>
          <w:sz w:val="22"/>
        </w:rPr>
        <w:t>Note: Only commentary from peers reporting Q2 2026 results (calendar Q2, April–June 2026) or post-Q1 2026 conference appearances is included. Prior-quarter earnings commentary about prior-quarter results is excluded.</w:t>
      </w:r>
    </w:p>
    <w:p>
      <w:pPr>
        <w:pStyle w:val="Heading3"/>
      </w:pPr>
      <w:r>
        <w:rPr>
          <w:rFonts w:ascii="Calibri" w:hAnsi="Calibri"/>
          <w:b/>
          <w:color w:val="3B4259"/>
          <w:sz w:val="24"/>
        </w:rPr>
        <w:t>BD (BDX) — Q2 FY2026 Earnings Call (May 7, 2026)</w:t>
      </w:r>
    </w:p>
    <w:p>
      <w:r>
        <w:rPr>
          <w:rFonts w:ascii="Calibri" w:hAnsi="Calibri"/>
          <w:color w:val="525866"/>
          <w:sz w:val="22"/>
        </w:rPr>
        <w:t>BD's fiscal Q2 2026 (calendar Q2 2026) results are the most directly relevant peer read-through for BAX, given overlapping product categories in infusion, injectables, and hospital supply.</w:t>
      </w:r>
    </w:p>
    <w:p>
      <w:pPr>
        <w:pStyle w:val="ListBullet"/>
        <w:ind w:left="360" w:hanging="360"/>
      </w:pPr>
      <w:r>
        <w:rPr>
          <w:rFonts w:ascii="Calibri" w:hAnsi="Calibri"/>
          <w:b/>
          <w:color w:val="525866"/>
          <w:sz w:val="22"/>
        </w:rPr>
        <w:t>Infusion Sets &amp; IV Utilization (Direct BAX Read-Through):</w:t>
      </w:r>
      <w:r>
        <w:rPr>
          <w:rFonts w:ascii="Calibri" w:hAnsi="Calibri"/>
          <w:color w:val="525866"/>
          <w:sz w:val="22"/>
        </w:rPr>
        <w:t xml:space="preserve"> BD reported "low double-digit growth in infusion sets" in Q2, driven by two factors: (1) an easy comparison from last year's IV fluid shortage (Hurricane Helene-related), and (2) pull-through from Alaris pump share gains. This is a direct positive read-through for BAX's IV Solutions business — the same fluid shortage that created a one-time distributor build in BAX's Q1 2025 is now creating an easy comp for infusion set utilization. BAX should see similar normalization dynamics in its IV Solutions division in Q2.</w:t>
      </w:r>
    </w:p>
    <w:p>
      <w:pPr>
        <w:pStyle w:val="ListBullet"/>
        <w:ind w:left="360" w:hanging="360"/>
      </w:pPr>
      <w:r>
        <w:rPr>
          <w:rFonts w:ascii="Calibri" w:hAnsi="Calibri"/>
          <w:b/>
          <w:color w:val="525866"/>
          <w:sz w:val="22"/>
        </w:rPr>
        <w:t>Alaris Pump Share Gains vs. BAX Novum Hold (Competitive Read-Through):</w:t>
      </w:r>
      <w:r>
        <w:rPr>
          <w:rFonts w:ascii="Calibri" w:hAnsi="Calibri"/>
          <w:color w:val="525866"/>
          <w:sz w:val="22"/>
        </w:rPr>
        <w:t xml:space="preserve"> BD reported ~50bps of Alaris pump share gains in Q2 and ~150bps year-to-date, with "the largest Alaris competitive funnel in the history of the company" and "lost no infusion accounts in the quarter." BD explicitly noted Alaris will be a 100bps headwind this year and 200bps next year as remediation concludes. </w:t>
      </w:r>
      <w:r>
        <w:rPr>
          <w:rFonts w:ascii="Calibri" w:hAnsi="Calibri"/>
          <w:b/>
          <w:color w:val="525866"/>
          <w:sz w:val="22"/>
        </w:rPr>
        <w:t>This is a direct competitive negative for BAX</w:t>
      </w:r>
      <w:r>
        <w:rPr>
          <w:rFonts w:ascii="Calibri" w:hAnsi="Calibri"/>
          <w:color w:val="525866"/>
          <w:sz w:val="22"/>
        </w:rPr>
        <w:t xml:space="preserve"> — while BAX's Novum is on hold, BD is actively converting accounts. The silver lining: BD's Alaris headwind normalizes in FY2028, suggesting the competitive dynamic is time-limited.</w:t>
      </w:r>
    </w:p>
    <w:p>
      <w:pPr>
        <w:pStyle w:val="ListBullet"/>
        <w:ind w:left="360" w:hanging="360"/>
      </w:pPr>
      <w:r>
        <w:rPr>
          <w:rFonts w:ascii="Calibri" w:hAnsi="Calibri"/>
          <w:b/>
          <w:color w:val="525866"/>
          <w:sz w:val="22"/>
        </w:rPr>
        <w:t>Hospital Procedure Volumes (Positive Read-Through for BAX HST):</w:t>
      </w:r>
      <w:r>
        <w:rPr>
          <w:rFonts w:ascii="Calibri" w:hAnsi="Calibri"/>
          <w:color w:val="525866"/>
          <w:sz w:val="22"/>
        </w:rPr>
        <w:t xml:space="preserve"> BD's commentary on hospital demand was constructive — "over 90% of the portfolio delivering mid-single-digit growth" and double-digit growth in key platforms. BD noted labor shortages remain the #1 topic in hospitals, driving demand for automation. This is a positive read-through for BAX's HST segment (Patient Support Systems, Care &amp; Connectivity Solutions), which is expected to grow low single digits in FY2026 with H2 weighting.</w:t>
      </w:r>
    </w:p>
    <w:p>
      <w:pPr>
        <w:pStyle w:val="ListBullet"/>
        <w:ind w:left="360" w:hanging="360"/>
      </w:pPr>
      <w:r>
        <w:rPr>
          <w:rFonts w:ascii="Calibri" w:hAnsi="Calibri"/>
          <w:b/>
          <w:color w:val="525866"/>
          <w:sz w:val="22"/>
        </w:rPr>
        <w:t>Tariff Impact (Comparable Headwind):</w:t>
      </w:r>
      <w:r>
        <w:rPr>
          <w:rFonts w:ascii="Calibri" w:hAnsi="Calibri"/>
          <w:color w:val="525866"/>
          <w:sz w:val="22"/>
        </w:rPr>
        <w:t xml:space="preserve"> BD reported 160bps of tariff headwind to both gross margin and operating margin in Q2, with full-year adjusted operating margin guidance of ~25% inclusive of tariffs. BAX has guided ~$80M full-year tariff impact ($40M YoY headwind). BD's experience confirms tariffs are a real but manageable headwind for the sector, consistent with BAX's guidance.</w:t>
      </w:r>
    </w:p>
    <w:p>
      <w:pPr>
        <w:pStyle w:val="ListBullet"/>
        <w:ind w:left="360" w:hanging="360"/>
      </w:pPr>
      <w:r>
        <w:rPr>
          <w:rFonts w:ascii="Calibri" w:hAnsi="Calibri"/>
          <w:b/>
          <w:color w:val="525866"/>
          <w:sz w:val="22"/>
        </w:rPr>
        <w:t>Injectable Pharmaceuticals / Vaccine Demand (Mixed Read-Through):</w:t>
      </w:r>
      <w:r>
        <w:rPr>
          <w:rFonts w:ascii="Calibri" w:hAnsi="Calibri"/>
          <w:color w:val="525866"/>
          <w:sz w:val="22"/>
        </w:rPr>
        <w:t xml:space="preserve"> BD's BioPharma Systems segment declined 1.8% due to lower vaccine demand, partially offset by double-digit biologics/GLP-1 growth. BD noted "a significant drop in vaccine demand across the industry." For BAX, this is a limited read-through (BAX's injectables are hospital-focused, not vaccine-related), but the broader injectable market softness is consistent with BAX's own commentary on premix and anesthesia weakness.</w:t>
      </w:r>
    </w:p>
    <w:p>
      <w:pPr>
        <w:pStyle w:val="Heading3"/>
      </w:pPr>
      <w:r>
        <w:rPr>
          <w:rFonts w:ascii="Calibri" w:hAnsi="Calibri"/>
          <w:b/>
          <w:color w:val="3B4259"/>
          <w:sz w:val="24"/>
        </w:rPr>
        <w:t>Abbott (ABT) — Q2 2026 Earnings Call (July 16, 2026)</w:t>
      </w:r>
    </w:p>
    <w:p>
      <w:r>
        <w:rPr>
          <w:rFonts w:ascii="Calibri" w:hAnsi="Calibri"/>
          <w:color w:val="525866"/>
          <w:sz w:val="22"/>
        </w:rPr>
        <w:t>Abbott's Q2 2026 results (reported July 16) are the most recent large-cap medtech read-through, with strong relevance to BAX's HST segment and the broader hospital demand environment.</w:t>
      </w:r>
    </w:p>
    <w:p>
      <w:pPr>
        <w:pStyle w:val="ListBullet"/>
        <w:ind w:left="360" w:hanging="360"/>
      </w:pPr>
      <w:r>
        <w:rPr>
          <w:rFonts w:ascii="Calibri" w:hAnsi="Calibri"/>
          <w:b/>
          <w:color w:val="525866"/>
          <w:sz w:val="22"/>
        </w:rPr>
        <w:t>Hospital Procedure Volumes — No Deceleration (Positive Read-Through for BAX HST):</w:t>
      </w:r>
      <w:r>
        <w:rPr>
          <w:rFonts w:ascii="Calibri" w:hAnsi="Calibri"/>
          <w:color w:val="525866"/>
          <w:sz w:val="22"/>
        </w:rPr>
        <w:t xml:space="preserve"> Abbott explicitly pushed back on investor concerns about decelerating procedure volumes: "our data is not showing that." Abbott's hospital labs business grew 13% in Q2, and U.S. core lab grew 7.5%. Abbott argued that medtech surgical procedures are primarily driven by Medicare (over two-thirds of U.S. cardio business), not Medicaid, making them "very inelastic." </w:t>
      </w:r>
      <w:r>
        <w:rPr>
          <w:rFonts w:ascii="Calibri" w:hAnsi="Calibri"/>
          <w:b/>
          <w:color w:val="525866"/>
          <w:sz w:val="22"/>
        </w:rPr>
        <w:t>This is a strong positive read-through for BAX's HST segment</w:t>
      </w:r>
      <w:r>
        <w:rPr>
          <w:rFonts w:ascii="Calibri" w:hAnsi="Calibri"/>
          <w:color w:val="525866"/>
          <w:sz w:val="22"/>
        </w:rPr>
        <w:t xml:space="preserve"> — if hospital volumes are holding up, BAX's Patient Support Systems and Care &amp; Connectivity Solutions should see stable demand.</w:t>
      </w:r>
    </w:p>
    <w:p>
      <w:pPr>
        <w:pStyle w:val="ListBullet"/>
        <w:ind w:left="360" w:hanging="360"/>
      </w:pPr>
      <w:r>
        <w:rPr>
          <w:rFonts w:ascii="Calibri" w:hAnsi="Calibri"/>
          <w:b/>
          <w:color w:val="525866"/>
          <w:sz w:val="22"/>
        </w:rPr>
        <w:t>Medtech Demand Acceleration in H2 (Positive Tone for BAX):</w:t>
      </w:r>
      <w:r>
        <w:rPr>
          <w:rFonts w:ascii="Calibri" w:hAnsi="Calibri"/>
          <w:color w:val="525866"/>
          <w:sz w:val="22"/>
        </w:rPr>
        <w:t xml:space="preserve"> Abbott raised FY2026 EPS guidance to $5.45–$5.60 and reaffirmed 6.5%–7.5% comparable sales growth, with "momentum building across the portfolio" and "clear line of sight to key drivers of sales growth acceleration in the second half." ~80% of H2 lift expected from four areas: nutrition, EP, core lab, and cancer diagnostics. The constructive H2 tone from a large-cap medtech peer supports BAX's own H2 recovery narrative.</w:t>
      </w:r>
    </w:p>
    <w:p>
      <w:pPr>
        <w:pStyle w:val="ListBullet"/>
        <w:ind w:left="360" w:hanging="360"/>
      </w:pPr>
      <w:r>
        <w:rPr>
          <w:rFonts w:ascii="Calibri" w:hAnsi="Calibri"/>
          <w:b/>
          <w:color w:val="525866"/>
          <w:sz w:val="22"/>
        </w:rPr>
        <w:t>Diagnostic Test Volumes as Demand Barometer:</w:t>
      </w:r>
      <w:r>
        <w:rPr>
          <w:rFonts w:ascii="Calibri" w:hAnsi="Calibri"/>
          <w:color w:val="525866"/>
          <w:sz w:val="22"/>
        </w:rPr>
        <w:t xml:space="preserve"> Abbott noted that diagnostic test volumes "inform approximately 70% of all healthcare decisions" and continue to reflect "strong and stable demand." Testing volumes held up even in states with the highest ACA disenrollment. This broad-based demand signal is a positive read-through for BAX's hospital-facing businesses.</w:t>
      </w:r>
    </w:p>
    <w:p>
      <w:pPr>
        <w:pStyle w:val="Heading3"/>
      </w:pPr>
      <w:r>
        <w:rPr>
          <w:rFonts w:ascii="Calibri" w:hAnsi="Calibri"/>
          <w:b/>
          <w:color w:val="3B4259"/>
          <w:sz w:val="24"/>
        </w:rPr>
        <w:t>Medtronic (MDT) — Q4 FY2026 Earnings Call (May 20, 2026)</w:t>
      </w:r>
    </w:p>
    <w:p>
      <w:r>
        <w:rPr>
          <w:rFonts w:ascii="Calibri" w:hAnsi="Calibri"/>
          <w:color w:val="525866"/>
          <w:sz w:val="22"/>
        </w:rPr>
        <w:t>Medtronic's fiscal Q4 2026 (ended April 24, 2026) results and FY2027 outlook provide read-throughs on the broader medtech demand environment and tariff dynamics.</w:t>
      </w:r>
    </w:p>
    <w:p>
      <w:pPr>
        <w:pStyle w:val="ListBullet"/>
        <w:ind w:left="360" w:hanging="360"/>
      </w:pPr>
      <w:r>
        <w:rPr>
          <w:rFonts w:ascii="Calibri" w:hAnsi="Calibri"/>
          <w:b/>
          <w:color w:val="525866"/>
          <w:sz w:val="22"/>
        </w:rPr>
        <w:t>Medtech Structurally Resilient Despite Challenging Macro:</w:t>
      </w:r>
      <w:r>
        <w:rPr>
          <w:rFonts w:ascii="Calibri" w:hAnsi="Calibri"/>
          <w:color w:val="525866"/>
          <w:sz w:val="22"/>
        </w:rPr>
        <w:t xml:space="preserve"> Medtronic described the macro backdrop as "challenging and dynamic" but argued "MedTech is structurally resilient because the fundamentals are durable" — people living longer, rising chronic disease, growing procedure demand. This is consistent with BAX's own narrative and supports the view that BAX's hospital-facing businesses face a durable demand backdrop.</w:t>
      </w:r>
    </w:p>
    <w:p>
      <w:pPr>
        <w:pStyle w:val="ListBullet"/>
        <w:ind w:left="360" w:hanging="360"/>
      </w:pPr>
      <w:r>
        <w:rPr>
          <w:rFonts w:ascii="Calibri" w:hAnsi="Calibri"/>
          <w:b/>
          <w:color w:val="525866"/>
          <w:sz w:val="22"/>
        </w:rPr>
        <w:t>Tariff Headwind Quantified for FY2027 (Comparable to BAX):</w:t>
      </w:r>
      <w:r>
        <w:rPr>
          <w:rFonts w:ascii="Calibri" w:hAnsi="Calibri"/>
          <w:color w:val="525866"/>
          <w:sz w:val="22"/>
        </w:rPr>
        <w:t xml:space="preserve"> Medtronic guided ~$250M tariff impact to COGS in FY2027 ($65M increase vs. prior year), with $75M in Q1 FY2027 alone. Medtronic incorporated "status quo in tariffs" in guidance. BAX's $80M full-year tariff impact (net of mitigations) appears well-managed relative to Medtronic's scale, suggesting BAX's tariff guidance is credible.</w:t>
      </w:r>
    </w:p>
    <w:p>
      <w:pPr>
        <w:pStyle w:val="ListBullet"/>
        <w:ind w:left="360" w:hanging="360"/>
      </w:pPr>
      <w:r>
        <w:rPr>
          <w:rFonts w:ascii="Calibri" w:hAnsi="Calibri"/>
          <w:b/>
          <w:color w:val="525866"/>
          <w:sz w:val="22"/>
        </w:rPr>
        <w:t>Acute Care &amp; Monitoring Strength (Positive Read-Through for BAX HST):</w:t>
      </w:r>
      <w:r>
        <w:rPr>
          <w:rFonts w:ascii="Calibri" w:hAnsi="Calibri"/>
          <w:color w:val="525866"/>
          <w:sz w:val="22"/>
        </w:rPr>
        <w:t xml:space="preserve"> Medtronic's Acute Care and Monitoring (ACM) segment saw "outsized strength" in Q4 FY2026, growing 11% globally and high teens in the U.S. However, Medtronic cautioned this growth will "normalize" in FY2027. For BAX's HST segment (which includes patient monitoring and connected care), this suggests the acute care demand environment was strong through Q2 2026 but may moderate.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Commentary Date</w:t>
            </w:r>
          </w:p>
        </w:tc>
        <w:tc>
          <w:tcPr>
            <w:tcW w:type="dxa" w:w="2160"/>
            <w:shd w:val="clear" w:color="auto" w:fill="3B4259"/>
          </w:tcPr>
          <w:p>
            <w:r>
              <w:rPr>
                <w:rFonts w:ascii="Calibri" w:hAnsi="Calibri"/>
                <w:b/>
                <w:color w:val="FFFFFF"/>
                <w:sz w:val="22"/>
              </w:rPr>
              <w:t>Key Read-Through for BAX</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BD (BDX)</w:t>
            </w:r>
          </w:p>
        </w:tc>
        <w:tc>
          <w:tcPr>
            <w:tcW w:type="dxa" w:w="2160"/>
          </w:tcPr>
          <w:p>
            <w:r>
              <w:rPr>
                <w:rFonts w:ascii="Calibri" w:hAnsi="Calibri"/>
                <w:sz w:val="22"/>
              </w:rPr>
              <w:t>May 7, 2026 (Q2 FY2026 Earnings)</w:t>
            </w:r>
          </w:p>
        </w:tc>
        <w:tc>
          <w:tcPr>
            <w:tcW w:type="dxa" w:w="2160"/>
          </w:tcPr>
          <w:p>
            <w:r>
              <w:rPr>
                <w:rFonts w:ascii="Calibri" w:hAnsi="Calibri"/>
                <w:sz w:val="22"/>
              </w:rPr>
              <w:t>Infusion set utilization recovering from fluid shortage — positive for BAX IV Solutions</w:t>
            </w:r>
          </w:p>
        </w:tc>
        <w:tc>
          <w:tcPr>
            <w:tcW w:type="dxa" w:w="2160"/>
          </w:tcPr>
          <w:p>
            <w:r>
              <w:rPr>
                <w:rFonts w:ascii="Calibri" w:hAnsi="Calibri"/>
                <w:b/>
                <w:color w:val="30A46C"/>
                <w:sz w:val="22"/>
              </w:rPr>
              <w:t>Positive</w:t>
            </w:r>
          </w:p>
        </w:tc>
      </w:tr>
      <w:tr>
        <w:tc>
          <w:tcPr>
            <w:tcW w:type="dxa" w:w="2160"/>
          </w:tcPr>
          <w:p>
            <w:r>
              <w:rPr>
                <w:rFonts w:ascii="Calibri" w:hAnsi="Calibri"/>
                <w:sz w:val="22"/>
              </w:rPr>
              <w:t>BD (BDX)</w:t>
            </w:r>
          </w:p>
        </w:tc>
        <w:tc>
          <w:tcPr>
            <w:tcW w:type="dxa" w:w="2160"/>
          </w:tcPr>
          <w:p>
            <w:r>
              <w:rPr>
                <w:rFonts w:ascii="Calibri" w:hAnsi="Calibri"/>
                <w:sz w:val="22"/>
              </w:rPr>
              <w:t>May 7, 2026 (Q2 FY2026 Earnings)</w:t>
            </w:r>
          </w:p>
        </w:tc>
        <w:tc>
          <w:tcPr>
            <w:tcW w:type="dxa" w:w="2160"/>
          </w:tcPr>
          <w:p>
            <w:r>
              <w:rPr>
                <w:rFonts w:ascii="Calibri" w:hAnsi="Calibri"/>
                <w:sz w:val="22"/>
              </w:rPr>
              <w:t>Alaris gaining ~150bps pump share YTD while Novum is on hold — competitive pressure on BAX ITT</w:t>
            </w:r>
          </w:p>
        </w:tc>
        <w:tc>
          <w:tcPr>
            <w:tcW w:type="dxa" w:w="2160"/>
          </w:tcPr>
          <w:p>
            <w:r>
              <w:rPr>
                <w:rFonts w:ascii="Calibri" w:hAnsi="Calibri"/>
                <w:b/>
                <w:color w:val="E5484D"/>
                <w:sz w:val="22"/>
              </w:rPr>
              <w:t>Negative</w:t>
            </w:r>
          </w:p>
        </w:tc>
      </w:tr>
      <w:tr>
        <w:tc>
          <w:tcPr>
            <w:tcW w:type="dxa" w:w="2160"/>
          </w:tcPr>
          <w:p>
            <w:r>
              <w:rPr>
                <w:rFonts w:ascii="Calibri" w:hAnsi="Calibri"/>
                <w:sz w:val="22"/>
              </w:rPr>
              <w:t>BD (BDX)</w:t>
            </w:r>
          </w:p>
        </w:tc>
        <w:tc>
          <w:tcPr>
            <w:tcW w:type="dxa" w:w="2160"/>
          </w:tcPr>
          <w:p>
            <w:r>
              <w:rPr>
                <w:rFonts w:ascii="Calibri" w:hAnsi="Calibri"/>
                <w:sz w:val="22"/>
              </w:rPr>
              <w:t>May 7, 2026 (Q2 FY2026 Earnings)</w:t>
            </w:r>
          </w:p>
        </w:tc>
        <w:tc>
          <w:tcPr>
            <w:tcW w:type="dxa" w:w="2160"/>
          </w:tcPr>
          <w:p>
            <w:r>
              <w:rPr>
                <w:rFonts w:ascii="Calibri" w:hAnsi="Calibri"/>
                <w:sz w:val="22"/>
              </w:rPr>
              <w:t>160bps tariff headwind to margins — confirms sector-wide tariff pressure consistent with BAX guidance</w:t>
            </w:r>
          </w:p>
        </w:tc>
        <w:tc>
          <w:tcPr>
            <w:tcW w:type="dxa" w:w="2160"/>
          </w:tcPr>
          <w:p>
            <w:r>
              <w:rPr>
                <w:rFonts w:ascii="Calibri" w:hAnsi="Calibri"/>
                <w:sz w:val="22"/>
              </w:rPr>
              <w:t>Neutral</w:t>
            </w:r>
          </w:p>
        </w:tc>
      </w:tr>
      <w:tr>
        <w:tc>
          <w:tcPr>
            <w:tcW w:type="dxa" w:w="2160"/>
          </w:tcPr>
          <w:p>
            <w:r>
              <w:rPr>
                <w:rFonts w:ascii="Calibri" w:hAnsi="Calibri"/>
                <w:sz w:val="22"/>
              </w:rPr>
              <w:t>Abbott (ABT)</w:t>
            </w:r>
          </w:p>
        </w:tc>
        <w:tc>
          <w:tcPr>
            <w:tcW w:type="dxa" w:w="2160"/>
          </w:tcPr>
          <w:p>
            <w:r>
              <w:rPr>
                <w:rFonts w:ascii="Calibri" w:hAnsi="Calibri"/>
                <w:sz w:val="22"/>
              </w:rPr>
              <w:t>July 16, 2026 (Q2 2026 Earnings)</w:t>
            </w:r>
          </w:p>
        </w:tc>
        <w:tc>
          <w:tcPr>
            <w:tcW w:type="dxa" w:w="2160"/>
          </w:tcPr>
          <w:p>
            <w:r>
              <w:rPr>
                <w:rFonts w:ascii="Calibri" w:hAnsi="Calibri"/>
                <w:sz w:val="22"/>
              </w:rPr>
              <w:t>No deceleration in hospital procedure volumes; hospital labs +13% — positive for BAX HST</w:t>
            </w:r>
          </w:p>
        </w:tc>
        <w:tc>
          <w:tcPr>
            <w:tcW w:type="dxa" w:w="2160"/>
          </w:tcPr>
          <w:p>
            <w:r>
              <w:rPr>
                <w:rFonts w:ascii="Calibri" w:hAnsi="Calibri"/>
                <w:b/>
                <w:color w:val="30A46C"/>
                <w:sz w:val="22"/>
              </w:rPr>
              <w:t>Positive</w:t>
            </w:r>
          </w:p>
        </w:tc>
      </w:tr>
      <w:tr>
        <w:tc>
          <w:tcPr>
            <w:tcW w:type="dxa" w:w="2160"/>
          </w:tcPr>
          <w:p>
            <w:r>
              <w:rPr>
                <w:rFonts w:ascii="Calibri" w:hAnsi="Calibri"/>
                <w:sz w:val="22"/>
              </w:rPr>
              <w:t>Abbott (ABT)</w:t>
            </w:r>
          </w:p>
        </w:tc>
        <w:tc>
          <w:tcPr>
            <w:tcW w:type="dxa" w:w="2160"/>
          </w:tcPr>
          <w:p>
            <w:r>
              <w:rPr>
                <w:rFonts w:ascii="Calibri" w:hAnsi="Calibri"/>
                <w:sz w:val="22"/>
              </w:rPr>
              <w:t>July 16, 2026 (Q2 2026 Earnings)</w:t>
            </w:r>
          </w:p>
        </w:tc>
        <w:tc>
          <w:tcPr>
            <w:tcW w:type="dxa" w:w="2160"/>
          </w:tcPr>
          <w:p>
            <w:r>
              <w:rPr>
                <w:rFonts w:ascii="Calibri" w:hAnsi="Calibri"/>
                <w:sz w:val="22"/>
              </w:rPr>
              <w:t>Raised FY2026 EPS guidance; constructive H2 tone — supports BAX's H2 recovery narrative</w:t>
            </w:r>
          </w:p>
        </w:tc>
        <w:tc>
          <w:tcPr>
            <w:tcW w:type="dxa" w:w="2160"/>
          </w:tcPr>
          <w:p>
            <w:r>
              <w:rPr>
                <w:rFonts w:ascii="Calibri" w:hAnsi="Calibri"/>
                <w:b/>
                <w:color w:val="30A46C"/>
                <w:sz w:val="22"/>
              </w:rPr>
              <w:t>Positive</w:t>
            </w:r>
          </w:p>
        </w:tc>
      </w:tr>
      <w:tr>
        <w:tc>
          <w:tcPr>
            <w:tcW w:type="dxa" w:w="2160"/>
          </w:tcPr>
          <w:p>
            <w:r>
              <w:rPr>
                <w:rFonts w:ascii="Calibri" w:hAnsi="Calibri"/>
                <w:sz w:val="22"/>
              </w:rPr>
              <w:t>Medtronic (MDT)</w:t>
            </w:r>
          </w:p>
        </w:tc>
        <w:tc>
          <w:tcPr>
            <w:tcW w:type="dxa" w:w="2160"/>
          </w:tcPr>
          <w:p>
            <w:r>
              <w:rPr>
                <w:rFonts w:ascii="Calibri" w:hAnsi="Calibri"/>
                <w:sz w:val="22"/>
              </w:rPr>
              <w:t>May 20, 2026 (Q4 FY2026 Earnings)</w:t>
            </w:r>
          </w:p>
        </w:tc>
        <w:tc>
          <w:tcPr>
            <w:tcW w:type="dxa" w:w="2160"/>
          </w:tcPr>
          <w:p>
            <w:r>
              <w:rPr>
                <w:rFonts w:ascii="Calibri" w:hAnsi="Calibri"/>
                <w:sz w:val="22"/>
              </w:rPr>
              <w:t>ACM segment strong in Q4 but expected to normalize — mixed for BAX HST monitoring business</w:t>
            </w:r>
          </w:p>
        </w:tc>
        <w:tc>
          <w:tcPr>
            <w:tcW w:type="dxa" w:w="2160"/>
          </w:tcPr>
          <w:p>
            <w:r>
              <w:rPr>
                <w:rFonts w:ascii="Calibri" w:hAnsi="Calibri"/>
                <w:sz w:val="22"/>
              </w:rPr>
              <w:t>Mixed</w:t>
            </w:r>
          </w:p>
        </w:tc>
      </w:tr>
      <w:tr>
        <w:tc>
          <w:tcPr>
            <w:tcW w:type="dxa" w:w="2160"/>
          </w:tcPr>
          <w:p>
            <w:r>
              <w:rPr>
                <w:rFonts w:ascii="Calibri" w:hAnsi="Calibri"/>
                <w:sz w:val="22"/>
              </w:rPr>
              <w:t>Medtronic (MDT)</w:t>
            </w:r>
          </w:p>
        </w:tc>
        <w:tc>
          <w:tcPr>
            <w:tcW w:type="dxa" w:w="2160"/>
          </w:tcPr>
          <w:p>
            <w:r>
              <w:rPr>
                <w:rFonts w:ascii="Calibri" w:hAnsi="Calibri"/>
                <w:sz w:val="22"/>
              </w:rPr>
              <w:t>May 20, 2026 (Q4 FY2026 Earnings)</w:t>
            </w:r>
          </w:p>
        </w:tc>
        <w:tc>
          <w:tcPr>
            <w:tcW w:type="dxa" w:w="2160"/>
          </w:tcPr>
          <w:p>
            <w:r>
              <w:rPr>
                <w:rFonts w:ascii="Calibri" w:hAnsi="Calibri"/>
                <w:sz w:val="22"/>
              </w:rPr>
              <w:t>$250M FY2027 tariff impact — BAX's $80M net impact appears well-managed by comparison</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since Q1 earnings — all transactions are routine director equity grants (code A) and tax-withholding share forfeitures (code F). The absence of any open-market buying by executives is notable given the stock's depressed valuation, but the absence of discretionary selling is also a mild positive signal. Nothing here is actionable.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Zielinski, Anita A.</w:t>
            </w:r>
          </w:p>
        </w:tc>
        <w:tc>
          <w:tcPr>
            <w:tcW w:type="dxa" w:w="1440"/>
          </w:tcPr>
          <w:p>
            <w:r>
              <w:rPr>
                <w:rFonts w:ascii="Calibri" w:hAnsi="Calibri"/>
                <w:sz w:val="22"/>
              </w:rPr>
              <w:t>SVP, Interim CFO, CAO &amp; Controller</w:t>
            </w:r>
          </w:p>
        </w:tc>
        <w:tc>
          <w:tcPr>
            <w:tcW w:type="dxa" w:w="1440"/>
          </w:tcPr>
          <w:p>
            <w:r>
              <w:rPr>
                <w:rFonts w:ascii="Calibri" w:hAnsi="Calibri"/>
                <w:sz w:val="22"/>
              </w:rPr>
              <w:t>Equity Grant (Code A)</w:t>
            </w:r>
          </w:p>
        </w:tc>
        <w:tc>
          <w:tcPr>
            <w:tcW w:type="dxa" w:w="1440"/>
          </w:tcPr>
          <w:p>
            <w:r>
              <w:rPr>
                <w:rFonts w:ascii="Calibri" w:hAnsi="Calibri"/>
                <w:sz w:val="22"/>
              </w:rPr>
              <w:t>13,426 shares</w:t>
            </w:r>
          </w:p>
        </w:tc>
        <w:tc>
          <w:tcPr>
            <w:tcW w:type="dxa" w:w="1440"/>
          </w:tcPr>
          <w:p>
            <w:r>
              <w:rPr>
                <w:rFonts w:ascii="Calibri" w:hAnsi="Calibri"/>
                <w:sz w:val="22"/>
              </w:rPr>
              <w:t>June 1, 2026</w:t>
            </w:r>
          </w:p>
        </w:tc>
        <w:tc>
          <w:tcPr>
            <w:tcW w:type="dxa" w:w="1440"/>
          </w:tcPr>
          <w:p>
            <w:r>
              <w:rPr>
                <w:rFonts w:ascii="Calibri" w:hAnsi="Calibri"/>
                <w:sz w:val="22"/>
              </w:rPr>
              <w:t>Routine equity award; 10b5-1 plan; not discretionary</w:t>
            </w:r>
          </w:p>
        </w:tc>
      </w:tr>
      <w:tr>
        <w:tc>
          <w:tcPr>
            <w:tcW w:type="dxa" w:w="1440"/>
          </w:tcPr>
          <w:p>
            <w:r>
              <w:rPr>
                <w:rFonts w:ascii="Calibri" w:hAnsi="Calibri"/>
                <w:sz w:val="22"/>
              </w:rPr>
              <w:t>Teaff, James</w:t>
            </w:r>
          </w:p>
        </w:tc>
        <w:tc>
          <w:tcPr>
            <w:tcW w:type="dxa" w:w="1440"/>
          </w:tcPr>
          <w:p>
            <w:r>
              <w:rPr>
                <w:rFonts w:ascii="Calibri" w:hAnsi="Calibri"/>
                <w:sz w:val="22"/>
              </w:rPr>
              <w:t>President, CCS</w:t>
            </w:r>
          </w:p>
        </w:tc>
        <w:tc>
          <w:tcPr>
            <w:tcW w:type="dxa" w:w="1440"/>
          </w:tcPr>
          <w:p>
            <w:r>
              <w:rPr>
                <w:rFonts w:ascii="Calibri" w:hAnsi="Calibri"/>
                <w:sz w:val="22"/>
              </w:rPr>
              <w:t>Tax Withholding Forfeiture (Code F)</w:t>
            </w:r>
          </w:p>
        </w:tc>
        <w:tc>
          <w:tcPr>
            <w:tcW w:type="dxa" w:w="1440"/>
          </w:tcPr>
          <w:p>
            <w:r>
              <w:rPr>
                <w:rFonts w:ascii="Calibri" w:hAnsi="Calibri"/>
                <w:sz w:val="22"/>
              </w:rPr>
              <w:t>321 shares</w:t>
            </w:r>
          </w:p>
        </w:tc>
        <w:tc>
          <w:tcPr>
            <w:tcW w:type="dxa" w:w="1440"/>
          </w:tcPr>
          <w:p>
            <w:r>
              <w:rPr>
                <w:rFonts w:ascii="Calibri" w:hAnsi="Calibri"/>
                <w:sz w:val="22"/>
              </w:rPr>
              <w:t>June 2,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Wallace, Steven P.</w:t>
            </w:r>
          </w:p>
        </w:tc>
        <w:tc>
          <w:tcPr>
            <w:tcW w:type="dxa" w:w="1440"/>
          </w:tcPr>
          <w:p>
            <w:r>
              <w:rPr>
                <w:rFonts w:ascii="Calibri" w:hAnsi="Calibri"/>
                <w:sz w:val="22"/>
              </w:rPr>
              <w:t>President, Advanced Surgery</w:t>
            </w:r>
          </w:p>
        </w:tc>
        <w:tc>
          <w:tcPr>
            <w:tcW w:type="dxa" w:w="1440"/>
          </w:tcPr>
          <w:p>
            <w:r>
              <w:rPr>
                <w:rFonts w:ascii="Calibri" w:hAnsi="Calibri"/>
                <w:sz w:val="22"/>
              </w:rPr>
              <w:t>Tax Withholding Forfeiture (Code F)</w:t>
            </w:r>
          </w:p>
        </w:tc>
        <w:tc>
          <w:tcPr>
            <w:tcW w:type="dxa" w:w="1440"/>
          </w:tcPr>
          <w:p>
            <w:r>
              <w:rPr>
                <w:rFonts w:ascii="Calibri" w:hAnsi="Calibri"/>
                <w:sz w:val="22"/>
              </w:rPr>
              <w:t>153 shares</w:t>
            </w:r>
          </w:p>
        </w:tc>
        <w:tc>
          <w:tcPr>
            <w:tcW w:type="dxa" w:w="1440"/>
          </w:tcPr>
          <w:p>
            <w:r>
              <w:rPr>
                <w:rFonts w:ascii="Calibri" w:hAnsi="Calibri"/>
                <w:sz w:val="22"/>
              </w:rPr>
              <w:t>June 2, 2026</w:t>
            </w:r>
          </w:p>
        </w:tc>
        <w:tc>
          <w:tcPr>
            <w:tcW w:type="dxa" w:w="1440"/>
          </w:tcPr>
          <w:p>
            <w:r>
              <w:rPr>
                <w:rFonts w:ascii="Calibri" w:hAnsi="Calibri"/>
                <w:sz w:val="22"/>
              </w:rPr>
              <w:t>Shares withheld for tax on vesting; not a discretionary sale</w:t>
            </w:r>
          </w:p>
        </w:tc>
      </w:tr>
      <w:tr>
        <w:tc>
          <w:tcPr>
            <w:tcW w:type="dxa" w:w="1440"/>
          </w:tcPr>
          <w:p>
            <w:r>
              <w:rPr>
                <w:rFonts w:ascii="Calibri" w:hAnsi="Calibri"/>
                <w:sz w:val="22"/>
              </w:rPr>
              <w:t>Ampofo, William A. II</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Craig, Jeffrey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McDonnell, Michael 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Morrison, Patricia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Schlichting, Nancy M.</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Shafer, David Brent</w:t>
            </w:r>
          </w:p>
        </w:tc>
        <w:tc>
          <w:tcPr>
            <w:tcW w:type="dxa" w:w="1440"/>
          </w:tcPr>
          <w:p>
            <w:r>
              <w:rPr>
                <w:rFonts w:ascii="Calibri" w:hAnsi="Calibri"/>
                <w:sz w:val="22"/>
              </w:rPr>
              <w:t>Chair of the Board, 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Wendell, Amy McBride</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r>
        <w:tc>
          <w:tcPr>
            <w:tcW w:type="dxa" w:w="1440"/>
          </w:tcPr>
          <w:p>
            <w:r>
              <w:rPr>
                <w:rFonts w:ascii="Calibri" w:hAnsi="Calibri"/>
                <w:sz w:val="22"/>
              </w:rPr>
              <w:t>Wilkes, David S.</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12,836 shares</w:t>
            </w:r>
          </w:p>
        </w:tc>
        <w:tc>
          <w:tcPr>
            <w:tcW w:type="dxa" w:w="1440"/>
          </w:tcPr>
          <w:p>
            <w:r>
              <w:rPr>
                <w:rFonts w:ascii="Calibri" w:hAnsi="Calibri"/>
                <w:sz w:val="22"/>
              </w:rPr>
              <w:t>May 5, 2026</w:t>
            </w:r>
          </w:p>
        </w:tc>
        <w:tc>
          <w:tcPr>
            <w:tcW w:type="dxa" w:w="1440"/>
          </w:tcPr>
          <w:p>
            <w:r>
              <w:rPr>
                <w:rFonts w:ascii="Calibri" w:hAnsi="Calibri"/>
                <w:sz w:val="22"/>
              </w:rPr>
              <w:t>Annual director equity grant; routine</w:t>
            </w:r>
          </w:p>
        </w:tc>
      </w:tr>
    </w:tbl>
    <w:p>
      <w:r>
        <w:rPr>
          <w:rFonts w:ascii="Calibri" w:hAnsi="Calibri"/>
          <w:i/>
          <w:color w:val="525866"/>
          <w:sz w:val="22"/>
        </w:rPr>
        <w:t>Source: SEC Form 4 filings (Insider Transaction Data). All transactions since Q1 2026 earnings (April 30, 2026). No open-market buys (Code P) or discretionary open-market sales (Code S) were filed in the period. The seven director grants on May 5 are routine annual equity compensation. The Zielinski grant (Code A, 10b5-1) is a pre-planned equity award consistent with her interim CFO role. The two Code F transactions (Teaff, Wallace) are tax-withholding forfeitures on vesting RSUs — not discretionary sales. The absence of any open-market buying by the CEO or other senior executives is notable but not unusual given the company's ongoing turnaround and leverage reduction focus.</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