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en-earnings-predictions--2026-07-31"/>
    <w:p>
      <w:pPr>
        <w:pStyle w:val="Heading1"/>
      </w:pPr>
      <w:r>
        <w:t xml:space="preserve">BEN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~$2.37B vs. cons $2.27B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~28.2% vs. cons ~27.3%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(fiscal Q4'26 exit)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~high-29% (~29.5%) vs. cons ~28.5% (FQ4'26)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fee rate (fiscal Q4'26)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~mid-to-high 37bps (~37.5) vs. cons ~37.5bps (FQ4'26)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Alternatives fundraising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~&gt;</w:t>
            </w:r>
            <m:oMath>
              <m:r>
                <m:t>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 &amp; benefits expense (fiscal Q3'26)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835M (FQ3'26)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net flows (pre-disclosed, FQ3'26)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actual +</w:t>
            </w:r>
            <m:oMath>
              <m:r>
                <m:t>18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12B (FQ3'26); Western only -$1B, already public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EPS/revenue/margin likely beat on ~+4-5% higher average AUM (S&amp;P +14.5% in the quarter) plus operating leverage toward the high-29s Q4 margin path, and Western stabilizing at just -</w:t>
            </w:r>
            <m:oMath>
              <m:r>
                <m:t>1</m:t>
              </m:r>
              <m:r>
                <m:t>B</m:t>
              </m:r>
              <m:r>
                <m:t>r</m:t>
              </m:r>
              <m:r>
                <m:t>e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i</m:t>
              </m:r>
              <m:r>
                <m:t>g</m:t>
              </m:r>
              <m:r>
                <m:t>g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A</m:t>
              </m:r>
              <m:r>
                <m:t>U</m:t>
              </m:r>
              <m:r>
                <m:t>M</m:t>
              </m:r>
              <m:r>
                <m:rPr>
                  <m:sty m:val="p"/>
                </m:rPr>
                <m:t>/</m:t>
              </m:r>
            </m:oMath>
            <w:r>
              <w:t xml:space="preserve">18B flow beat was already disclosed July 6, so the incremental surprise is only on margins/guide against a stock that has re-rated ~+40% off April lows. Expect a modest positive day-1 pop that fades as out-period estimates barely move (June AUM known, fee-rate mix dilutive) and profit-taking sets in on a full valuation.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2026-07-31T00:30:37Z</dcterms:created>
  <dcterms:modified xsi:type="dcterms:W3CDTF">2026-07-31T00:30:37Z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