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ben-earnings-predictions--2026-07-31"/>
    <w:p>
      <w:pPr>
        <w:pStyle w:val="Heading1"/>
      </w:pPr>
      <w:r>
        <w:t xml:space="preserve">BEN Earnings Predictions — 2026-07-31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BEN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Diluted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~$0.72 vs. cons $0.66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BEN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Revenue (Investment Mgmt Fees)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~$1.81B vs. cons $1.76B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BEN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Operating Margin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~27.8% vs. cons ~27.0%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BEN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Q4 FY2026 Adjusted Operating Margin Guide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~28.5% vs. cons ~27.8% (Q4 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BEN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FY2027 Margin Target (30%+)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~30%+ vs. cons ~29.5% (FY2027)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BEN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Effective Fee Rate (bps)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~37.5bps vs. cons ~37.3bps (Q3 FY2026 realized/Q4 guide)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BEN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Alternatives Fundraising Full-Year Target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&gt;</w:t>
            </w:r>
            <m:oMath>
              <m:r>
                <m:t>30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28B (FY2026)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BEN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+1.8%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BEN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+0.4% (FADE)</w:t>
            </w:r>
          </w:p>
        </w:tc>
        <w:tc>
          <w:tcPr/>
          <w:p>
            <w:pPr>
              <w:pStyle w:val="Compact"/>
            </w:pPr>
            <w:r>
              <w:t xml:space="preserve">Beat is largely pre-signaled via monthly AUM disclosures (already public through June), so the incremental surprise is mostly in margin/expense execution rather than top-line, capping the initial pop. Elevated retention/compensation expense (new $60M equity awards, carry incentives, higher G&amp;A tied to fundraising) and the persistent Western Asset outflow drag create implicit downward pressure on out-quarter (Q4/FY27) estimates even if Q3 beats, since consensus will need to absorb higher run-rate comp/G&amp;A against a 'flat markets' AUM assumption that has already been exceeded. With the stock up 35-40% YTD and near highs, a good-not-great margin/expense readout likely sees the initial gain partially faded over the week as sell-side normalizes forward EPS for higher opex rather than raising numbers 1:1 with the AUM beat.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2026-07-31T00:32:45Z</dcterms:created>
  <dcterms:modified xsi:type="dcterms:W3CDTF">2026-07-31T00:32:45Z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