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material to write a comprehensive earnings preview. Let me pull the exact Yahoo article for more EPS estimate context and any credit facility note details.# Franklin Resources (BEN) — Q3 FY2026 Earnings Preview</w:t>
      </w:r>
      <w:r>
        <w:t xml:space="preserve"> </w:t>
      </w:r>
      <w:r>
        <w:rPr>
          <w:b/>
          <w:bCs/>
        </w:rPr>
        <w:t xml:space="preserve">Report date:</w:t>
      </w:r>
      <w:r>
        <w:t xml:space="preserve"> </w:t>
      </w:r>
      <w:r>
        <w:t xml:space="preserve">July 31, 2026 (before market open) |</w:t>
      </w:r>
      <w:r>
        <w:t xml:space="preserve"> </w:t>
      </w:r>
      <w:r>
        <w:rPr>
          <w:b/>
          <w:bCs/>
        </w:rPr>
        <w:t xml:space="preserve">Call:</w:t>
      </w:r>
      <w:r>
        <w:t xml:space="preserve"> </w:t>
      </w:r>
      <w:r>
        <w:t xml:space="preserve">8:30 a.m. ET (release), 11:00 a.m. ET (webcast)</w:t>
      </w:r>
    </w:p>
    <w:bookmarkStart w:id="9" w:name="setting-the-stage"/>
    <w:p>
      <w:pPr>
        <w:pStyle w:val="Heading2"/>
      </w:pPr>
      <w:r>
        <w:t xml:space="preserve">Setting the Stage</w:t>
      </w:r>
    </w:p>
    <w:p>
      <w:pPr>
        <w:pStyle w:val="FirstParagraph"/>
      </w:pPr>
      <w:r>
        <w:t xml:space="preserve">Franklin Resources enters tomorrow's print in the best momentum it has shown in years. The stock has run from roughly</w:t>
      </w:r>
      <w:r>
        <w:t xml:space="preserve"> </w:t>
      </w:r>
      <m:oMath>
        <m:r>
          <m:t>24</m:t>
        </m:r>
        <m:r>
          <m:t>a</m:t>
        </m:r>
        <m:r>
          <m:t>t</m:t>
        </m:r>
        <m:r>
          <m:t>t</m:t>
        </m:r>
        <m:r>
          <m:t>h</m:t>
        </m:r>
        <m:r>
          <m:t>e</m:t>
        </m:r>
        <m:r>
          <m:t>s</m:t>
        </m:r>
        <m:r>
          <m:t>t</m:t>
        </m:r>
        <m:r>
          <m:t>a</m:t>
        </m:r>
        <m:r>
          <m:t>r</m:t>
        </m:r>
        <m:r>
          <m:t>t</m:t>
        </m:r>
        <m:r>
          <m:t>o</m:t>
        </m:r>
        <m:r>
          <m:t>f</m:t>
        </m:r>
        <m:r>
          <m:t>2026</m:t>
        </m:r>
        <m:r>
          <m:t>t</m:t>
        </m:r>
        <m:r>
          <m:t>o</m:t>
        </m:r>
        <m:r>
          <m:t>t</m:t>
        </m:r>
        <m:r>
          <m:t>h</m:t>
        </m:r>
        <m:r>
          <m:t>e</m:t>
        </m:r>
        <m:r>
          <m:t>l</m:t>
        </m:r>
        <m:r>
          <m:t>o</m:t>
        </m:r>
        <m:r>
          <m:t>w</m:t>
        </m:r>
        <m:r>
          <m:rPr>
            <m:sty m:val="p"/>
          </m:rPr>
          <m:t>−</m:t>
        </m:r>
      </m:oMath>
      <w:r>
        <w:t xml:space="preserve">33s heading into earnings — a gain of roughly 35-40% year-to-date — following back-to-back beat-and-raise quarters in December and April. Shares have cooled slightly off their July highs (~$34.4) but remain near multi-year peaks, meaning expectations (and the bar for a "good" print) are elevated.</w:t>
      </w:r>
    </w:p>
    <w:p>
      <w:pPr>
        <w:pStyle w:val="BodyText"/>
      </w:pPr>
      <w:r>
        <w:t xml:space="preserve">Consensus looks for</w:t>
      </w:r>
      <w:r>
        <w:t xml:space="preserve"> </w:t>
      </w:r>
      <w:r>
        <w:rPr>
          <w:b/>
          <w:bCs/>
        </w:rPr>
        <w:t xml:space="preserve">adjusted diluted EPS of roughly $0.66</w:t>
      </w:r>
      <w:r>
        <w:t xml:space="preserve">, up sharply from $0.49 a year ago, with Wall Street revenue estimates around $1.76 billion. Notably, BEN has beaten EPS estimates in each of the last four quarters, including a Q2 (March quarter) print of $0.71 adjusted EPS versus a $0.55 estimate — a 29% surprise.</w:t>
      </w:r>
    </w:p>
    <w:bookmarkEnd w:id="9"/>
    <w:bookmarkStart w:id="10" w:name="the-aum-tailwind-is-the-big-story"/>
    <w:p>
      <w:pPr>
        <w:pStyle w:val="Heading2"/>
      </w:pPr>
      <w:r>
        <w:t xml:space="preserve">The AUM Tailwind Is the Big Story</w:t>
      </w:r>
    </w:p>
    <w:p>
      <w:pPr>
        <w:pStyle w:val="FirstParagraph"/>
      </w:pPr>
      <w:r>
        <w:t xml:space="preserve">The single most important data point going into this print is the AUM trajectory disclosed monthly since quarter-end. Franklin ended its fiscal Q2 (March 31, 2026) with AUM of $1,682.1 billion. Since then, the company's own preliminary monthly disclosures show AUM climbing to roughly $1.74–1.75 trillion at April 30, $1.78 trillion at May 31, and</w:t>
      </w:r>
      <w:r>
        <w:t xml:space="preserve"> </w:t>
      </w:r>
      <m:oMath>
        <m:r>
          <m:t>1.79</m:t>
        </m:r>
        <m:r>
          <m:t>t</m:t>
        </m:r>
        <m:r>
          <m:t>r</m:t>
        </m:r>
        <m:r>
          <m:t>i</m:t>
        </m:r>
        <m:r>
          <m:t>l</m:t>
        </m:r>
        <m:r>
          <m:t>l</m:t>
        </m:r>
        <m:r>
          <m:t>i</m:t>
        </m:r>
        <m:r>
          <m:t>o</m:t>
        </m:r>
        <m:r>
          <m:t>n</m:t>
        </m:r>
        <m:r>
          <m:t>a</m:t>
        </m:r>
        <m:r>
          <m:t>t</m:t>
        </m:r>
        <m:r>
          <m:t>J</m:t>
        </m:r>
        <m:r>
          <m:t>u</m:t>
        </m:r>
        <m:r>
          <m:t>n</m:t>
        </m:r>
        <m:r>
          <m:t>e</m:t>
        </m:r>
        <m:r>
          <m:t>30</m:t>
        </m:r>
        <m:r>
          <m:rPr>
            <m:sty m:val="p"/>
          </m:rPr>
          <m:t>,</m:t>
        </m:r>
        <m:r>
          <m:t>2026</m:t>
        </m:r>
        <m:r>
          <m:rPr>
            <m:sty m:val="p"/>
          </m:rPr>
          <m:t>(</m:t>
        </m:r>
        <m:r>
          <m:t>t</m:t>
        </m:r>
        <m:r>
          <m:t>h</m:t>
        </m:r>
        <m:r>
          <m:t>e</m:t>
        </m:r>
        <m:r>
          <m:t>Q</m:t>
        </m:r>
        <m:r>
          <m:t>3</m:t>
        </m:r>
        <m:r>
          <m:t>F</m:t>
        </m:r>
        <m:r>
          <m:t>Y</m:t>
        </m:r>
        <m:r>
          <m:t>26</m:t>
        </m:r>
        <m:r>
          <m:t>q</m:t>
        </m:r>
        <m:r>
          <m:t>u</m:t>
        </m:r>
        <m:r>
          <m:t>a</m:t>
        </m:r>
        <m:r>
          <m:t>r</m:t>
        </m:r>
        <m:r>
          <m:t>t</m:t>
        </m:r>
        <m:r>
          <m:t>e</m:t>
        </m:r>
        <m:r>
          <m:t>r</m:t>
        </m:r>
        <m:r>
          <m:rPr>
            <m:sty m:val="p"/>
          </m:rPr>
          <m:t>−</m:t>
        </m:r>
        <m:r>
          <m:t>e</m:t>
        </m:r>
        <m:r>
          <m:t>n</m:t>
        </m:r>
        <m:r>
          <m:t>d</m:t>
        </m:r>
        <m:r>
          <m:rPr>
            <m:sty m:val="p"/>
          </m:rPr>
          <m:t>)</m:t>
        </m:r>
        <m:r>
          <m:rPr>
            <m:sty m:val="p"/>
          </m:rPr>
          <m:t>—</m:t>
        </m:r>
        <m:r>
          <m:t>a</m:t>
        </m:r>
        <m:r>
          <m:t>n</m:t>
        </m:r>
        <m:r>
          <m:t>i</m:t>
        </m:r>
        <m:r>
          <m:t>n</m:t>
        </m:r>
        <m:r>
          <m:t>c</m:t>
        </m:r>
        <m:r>
          <m:t>r</m:t>
        </m:r>
        <m:r>
          <m:t>e</m:t>
        </m:r>
        <m:r>
          <m:t>a</m:t>
        </m:r>
        <m:r>
          <m:t>s</m:t>
        </m:r>
        <m:r>
          <m:t>e</m:t>
        </m:r>
        <m:r>
          <m:t>o</m:t>
        </m:r>
        <m:r>
          <m:t>f</m:t>
        </m:r>
        <m:r>
          <m:t>o</m:t>
        </m:r>
        <m:r>
          <m:t>v</m:t>
        </m:r>
        <m:r>
          <m:t>e</m:t>
        </m:r>
        <m:r>
          <m:t>r</m:t>
        </m:r>
        <m:r>
          <m:t>6</m:t>
        </m:r>
      </m:oMath>
      <w:r>
        <w:t xml:space="preserve">9 billion of long-term net inflows in June alone). Because management fees are largely a function of average AUM, this sets up a favorable revenue base for Q3 even before considering flow trends, and it's consistent with management's own guidance from the last call that investment management fee revenue should grow at roughly 4x the rate of expense growth.</w:t>
      </w:r>
    </w:p>
    <w:bookmarkEnd w:id="10"/>
    <w:bookmarkStart w:id="11" w:name="Xcde19d07a41d2412de5ce972fa2dfd4967c0a22"/>
    <w:p>
      <w:pPr>
        <w:pStyle w:val="Heading2"/>
      </w:pPr>
      <w:r>
        <w:t xml:space="preserve">What Drove the Prior Quarter — and What to Watch for Continuation</w:t>
      </w:r>
    </w:p>
    <w:p>
      <w:pPr>
        <w:pStyle w:val="FirstParagraph"/>
      </w:pPr>
      <w:r>
        <w:t xml:space="preserve">Franklin's fiscal Q2 (March quarter) results, reported April 28, showed adjusted net income of</w:t>
      </w:r>
      <w:r>
        <w:t xml:space="preserve"> </w:t>
      </w:r>
      <m:oMath>
        <m:r>
          <m:t>384.5</m:t>
        </m:r>
        <m:r>
          <m:t>m</m:t>
        </m:r>
        <m:r>
          <m:t>i</m:t>
        </m:r>
        <m:r>
          <m:t>l</m:t>
        </m:r>
        <m:r>
          <m:t>l</m:t>
        </m:r>
        <m:r>
          <m:t>i</m:t>
        </m:r>
        <m:r>
          <m:t>o</m:t>
        </m:r>
        <m:r>
          <m:t>n</m:t>
        </m:r>
        <m:r>
          <m:rPr>
            <m:sty m:val="p"/>
          </m:rPr>
          <m:t>(</m:t>
        </m:r>
      </m:oMath>
      <w:r>
        <w:t xml:space="preserve">0.71 adjusted diluted EPS) and net income of $268.2 million or $0.49 per diluted share for the quarter ended March 31, 2026, as compared to $255.5 million or $0.46 per diluted share for the previous quarter, and $151.4 million or $0.26 per diluted share for the quarter ended March 31, 2025. Adjusted operating income rose to $474.6 million, as compared to $437.3 million for the previous quarter and $377.2 million for the prior year, with adjusted operating margin expanding to 27.1%.</w:t>
      </w:r>
    </w:p>
    <w:p>
      <w:pPr>
        <w:pStyle w:val="BodyText"/>
      </w:pPr>
      <w:r>
        <w:t xml:space="preserve">CEO Jenny Johnson characterized the quarter as "an excellent quarter for Franklin Templeton, with $16.9 billion in long-term net inflows across public and private markets, reflecting the strength and breadth of our diversified global platform", adding that the firm "delivered record gross sales and generated positive long-term net flows in every region". Several growth engines investors should track for a repeat performance:</w:t>
      </w:r>
    </w:p>
    <w:p>
      <w:pPr>
        <w:pStyle w:val="Compact"/>
        <w:numPr>
          <w:ilvl w:val="0"/>
          <w:numId w:val="1001"/>
        </w:numPr>
      </w:pPr>
      <w:r>
        <w:rPr>
          <w:b/>
          <w:bCs/>
        </w:rPr>
        <w:t xml:space="preserve">Private markets/alternatives fundraising</w:t>
      </w:r>
      <w:r>
        <w:t xml:space="preserve">: Franklin raised $14.3 billion in alternatives in Q2, including $13.2 billion in private markets, and management said fiscal year-to-date fundraising of $22.7 billion already matched full-year 2025 levels, "positioning us to exceed our $25 billion to $30 billion annual fundraising target, which was already adjusted upward at the start of our fiscal year". On the call, Johnson went further, noting "we raised that to $25 billion to $30 billion just we would expect to actually be above the $30 billion". Watch for confirmation that this pace continued into the June quarter and for any early color on Lexington's flagship secondaries fund (management indicated a formal update on fund size would likely come around fiscal year-end, but hinted "there could be an update in July or something like that").</w:t>
      </w:r>
    </w:p>
    <w:p>
      <w:pPr>
        <w:pStyle w:val="Compact"/>
        <w:numPr>
          <w:ilvl w:val="0"/>
          <w:numId w:val="1001"/>
        </w:numPr>
      </w:pPr>
      <w:r>
        <w:rPr>
          <w:b/>
          <w:bCs/>
        </w:rPr>
        <w:t xml:space="preserve">Canvas / retail SMAs</w:t>
      </w:r>
      <w:r>
        <w:t xml:space="preserve">: Canvas (custom indexing) hit record AUM of $22.9 billion in Q2, up 27% quarter-over-quarter, and retail SMAs stood at $168.3 billion. Management called out 72% CAGR growth and AUM doubling over the trailing 12 months — a trend investors will want to see extend.</w:t>
      </w:r>
    </w:p>
    <w:p>
      <w:pPr>
        <w:pStyle w:val="Compact"/>
        <w:numPr>
          <w:ilvl w:val="0"/>
          <w:numId w:val="1001"/>
        </w:numPr>
      </w:pPr>
      <w:r>
        <w:rPr>
          <w:b/>
          <w:bCs/>
        </w:rPr>
        <w:t xml:space="preserve">ETFs</w:t>
      </w:r>
      <w:r>
        <w:t xml:space="preserve">: ETF AUM reached a record $61.6 billion (67% YoY growth), with active ETFs now 45% of that total — an 18th consecutive quarter of positive flows.</w:t>
      </w:r>
    </w:p>
    <w:p>
      <w:pPr>
        <w:pStyle w:val="Compact"/>
        <w:numPr>
          <w:ilvl w:val="0"/>
          <w:numId w:val="1001"/>
        </w:numPr>
      </w:pPr>
      <w:r>
        <w:rPr>
          <w:b/>
          <w:bCs/>
        </w:rPr>
        <w:t xml:space="preserve">Western Asset drag</w:t>
      </w:r>
      <w:r>
        <w:t xml:space="preserve">: Fixed income ex-Western posted</w:t>
      </w:r>
      <w:r>
        <w:t xml:space="preserve"> </w:t>
      </w:r>
      <m:oMath>
        <m:r>
          <m:t>3.6</m:t>
        </m:r>
        <m:r>
          <m:t>b</m:t>
        </m:r>
        <m:r>
          <m:t>i</m:t>
        </m:r>
        <m:r>
          <m:t>l</m:t>
        </m:r>
        <m:r>
          <m:t>l</m:t>
        </m:r>
        <m:r>
          <m:t>i</m:t>
        </m:r>
        <m:r>
          <m:t>o</m:t>
        </m:r>
        <m:r>
          <m:t>n</m:t>
        </m:r>
        <m:r>
          <m:t>o</m:t>
        </m:r>
        <m:r>
          <m:t>f</m:t>
        </m:r>
        <m:r>
          <m:t>p</m:t>
        </m:r>
        <m:r>
          <m:t>o</m:t>
        </m:r>
        <m:r>
          <m:t>s</m:t>
        </m:r>
        <m:r>
          <m:t>i</m:t>
        </m:r>
        <m:r>
          <m:t>t</m:t>
        </m:r>
        <m:r>
          <m:t>i</m:t>
        </m:r>
        <m:r>
          <m:t>v</m:t>
        </m:r>
        <m:r>
          <m:t>e</m:t>
        </m:r>
        <m:r>
          <m:t>n</m:t>
        </m:r>
        <m:r>
          <m:t>e</m:t>
        </m:r>
        <m:r>
          <m:t>t</m:t>
        </m:r>
        <m:r>
          <m:t>f</m:t>
        </m:r>
        <m:r>
          <m:t>l</m:t>
        </m:r>
        <m:r>
          <m:t>o</m:t>
        </m:r>
        <m:r>
          <m:t>w</m:t>
        </m:r>
        <m:r>
          <m:t>s</m:t>
        </m:r>
        <m:r>
          <m:rPr>
            <m:sty m:val="p"/>
          </m:rPr>
          <m:t>(</m:t>
        </m:r>
        <m:r>
          <m:t>a</m:t>
        </m:r>
        <m:r>
          <m:t>n</m:t>
        </m:r>
        <m:r>
          <m:t>i</m:t>
        </m:r>
        <m:r>
          <m:t>n</m:t>
        </m:r>
        <m:r>
          <m:t>t</m:t>
        </m:r>
        <m:r>
          <m:t>h</m:t>
        </m:r>
        <m:r>
          <m:t>s</m:t>
        </m:r>
        <m:r>
          <m:t>t</m:t>
        </m:r>
        <m:r>
          <m:t>r</m:t>
        </m:r>
        <m:r>
          <m:t>a</m:t>
        </m:r>
        <m:r>
          <m:t>i</m:t>
        </m:r>
        <m:r>
          <m:t>g</m:t>
        </m:r>
        <m:r>
          <m:t>h</m:t>
        </m:r>
        <m:r>
          <m:t>t</m:t>
        </m:r>
        <m:r>
          <m:t>p</m:t>
        </m:r>
        <m:r>
          <m:t>o</m:t>
        </m:r>
        <m:r>
          <m:t>s</m:t>
        </m:r>
        <m:r>
          <m:t>i</m:t>
        </m:r>
        <m:r>
          <m:t>t</m:t>
        </m:r>
        <m:r>
          <m:t>i</m:t>
        </m:r>
        <m:r>
          <m:t>v</m:t>
        </m:r>
        <m:r>
          <m:t>e</m:t>
        </m:r>
        <m:r>
          <m:t>q</m:t>
        </m:r>
        <m:r>
          <m:t>u</m:t>
        </m:r>
        <m:r>
          <m:t>a</m:t>
        </m:r>
        <m:r>
          <m:t>r</m:t>
        </m:r>
        <m:r>
          <m:t>t</m:t>
        </m:r>
        <m:r>
          <m:t>e</m:t>
        </m:r>
        <m:r>
          <m:t>r</m:t>
        </m:r>
        <m:r>
          <m:rPr>
            <m:sty m:val="p"/>
          </m:rPr>
          <m:t>)</m:t>
        </m:r>
        <m:r>
          <m:rPr>
            <m:sty m:val="p"/>
          </m:rPr>
          <m:t>,</m:t>
        </m:r>
        <m:r>
          <m:t>b</m:t>
        </m:r>
        <m:r>
          <m:t>u</m:t>
        </m:r>
        <m:r>
          <m:t>t</m:t>
        </m:r>
        <m:r>
          <m:t>W</m:t>
        </m:r>
        <m:r>
          <m:t>e</m:t>
        </m:r>
        <m:r>
          <m:t>s</m:t>
        </m:r>
        <m:r>
          <m:t>t</m:t>
        </m:r>
        <m:r>
          <m:t>e</m:t>
        </m:r>
        <m:r>
          <m:t>r</m:t>
        </m:r>
        <m:r>
          <m:t>n</m:t>
        </m:r>
        <m:r>
          <m:t>i</m:t>
        </m:r>
        <m:r>
          <m:t>t</m:t>
        </m:r>
        <m:r>
          <m:t>s</m:t>
        </m:r>
        <m:r>
          <m:t>e</m:t>
        </m:r>
        <m:r>
          <m:t>l</m:t>
        </m:r>
        <m:r>
          <m:t>f</m:t>
        </m:r>
        <m:r>
          <m:t>r</m:t>
        </m:r>
        <m:r>
          <m:t>e</m:t>
        </m:r>
        <m:r>
          <m:t>m</m:t>
        </m:r>
        <m:r>
          <m:t>a</m:t>
        </m:r>
        <m:r>
          <m:t>i</m:t>
        </m:r>
        <m:r>
          <m:t>n</m:t>
        </m:r>
        <m:r>
          <m:t>s</m:t>
        </m:r>
        <m:r>
          <m:t>a</m:t>
        </m:r>
        <m:r>
          <m:t>n</m:t>
        </m:r>
        <m:r>
          <m:t>e</m:t>
        </m:r>
        <m:r>
          <m:t>t</m:t>
        </m:r>
        <m:r>
          <m:t>o</m:t>
        </m:r>
        <m:r>
          <m:t>u</m:t>
        </m:r>
        <m:r>
          <m:t>t</m:t>
        </m:r>
        <m:r>
          <m:t>f</m:t>
        </m:r>
        <m:r>
          <m:t>l</m:t>
        </m:r>
        <m:r>
          <m:t>o</m:t>
        </m:r>
        <m:r>
          <m:t>w</m:t>
        </m:r>
        <m:r>
          <m:t>d</m:t>
        </m:r>
        <m:r>
          <m:t>r</m:t>
        </m:r>
        <m:r>
          <m:t>a</m:t>
        </m:r>
        <m:r>
          <m:t>g</m:t>
        </m:r>
        <m:r>
          <m:rPr>
            <m:sty m:val="p"/>
          </m:rPr>
          <m:t>(</m:t>
        </m:r>
      </m:oMath>
      <w:r>
        <w:t xml:space="preserve">4.1 billion in Q2); the pace of Western-related redemptions is a recurring line item to track for stabilization.</w:t>
      </w:r>
    </w:p>
    <w:p>
      <w:pPr>
        <w:pStyle w:val="Compact"/>
        <w:numPr>
          <w:ilvl w:val="0"/>
          <w:numId w:val="1001"/>
        </w:numPr>
      </w:pPr>
      <w:r>
        <w:rPr>
          <w:b/>
          <w:bCs/>
        </w:rPr>
        <w:t xml:space="preserve">Digital assets</w:t>
      </w:r>
      <w:r>
        <w:t xml:space="preserve">: Franklin closed on plans to launch "Franklin Crypto" via the 250 Digital acquisition (expected to start operating this fall) and has tokenized ETFs live on Kraken and Ondo — a longer-duration optionality story rather than a near-term earnings driver.</w:t>
      </w:r>
    </w:p>
    <w:bookmarkEnd w:id="11"/>
    <w:bookmarkStart w:id="12" w:name="Xae7567248890c7618e2e519281e9769bfc2c698"/>
    <w:p>
      <w:pPr>
        <w:pStyle w:val="Heading2"/>
      </w:pPr>
      <w:r>
        <w:t xml:space="preserve">Margin and Expense Guidance — The Real Swing Factor</w:t>
      </w:r>
    </w:p>
    <w:p>
      <w:pPr>
        <w:pStyle w:val="FirstParagraph"/>
      </w:pPr>
      <w:r>
        <w:t xml:space="preserve">CFO Matt Nicholls gave fairly specific third-quarter guidance on the April call that investors should hold management to: an effective fee rate in the "mid- to high 37s" (bps, consistent with Q2), compensation and benefits of about $830 million (assuming a $50 million performance fee at a 55% payout), IS&amp;T of $155 million, occupancy of $70 million, and G&amp;A of $210–215 million — the latter inflated by roughly $23–25 million of elevated fundraising-related expenses and $9–10 million of incremental advertising/marketing tied to the strong alternatives raise. Full-year expenses (ex-performance fees) were guided to roughly 1.5% above fiscal 2025 levels, with investment management fee revenue expected to grow at least 4x that rate. Management reiterated a path to a</w:t>
      </w:r>
      <w:r>
        <w:t xml:space="preserve"> </w:t>
      </w:r>
      <w:r>
        <w:rPr>
          <w:b/>
          <w:bCs/>
        </w:rPr>
        <w:t xml:space="preserve">fiscal Q4 margin in the high-20s%</w:t>
      </w:r>
      <w:r>
        <w:t xml:space="preserve"> </w:t>
      </w:r>
      <w:r>
        <w:t xml:space="preserve">and</w:t>
      </w:r>
      <w:r>
        <w:t xml:space="preserve"> </w:t>
      </w:r>
      <w:r>
        <w:rPr>
          <w:b/>
          <w:bCs/>
        </w:rPr>
        <w:t xml:space="preserve">full-year margin around 27%</w:t>
      </w:r>
      <w:r>
        <w:t xml:space="preserve">, en route to a</w:t>
      </w:r>
      <w:r>
        <w:t xml:space="preserve"> </w:t>
      </w:r>
      <w:r>
        <w:rPr>
          <w:b/>
          <w:bCs/>
        </w:rPr>
        <w:t xml:space="preserve">30%+ margin target in fiscal 2027</w:t>
      </w:r>
      <w:r>
        <w:t xml:space="preserve">. Given AUM has run well ahead of the "flat markets" assumption embedded in that guidance, there's room for the company to reiterate or even raise this margin trajectory tomorrow — a key thing to listen for.</w:t>
      </w:r>
    </w:p>
    <w:bookmarkEnd w:id="12"/>
    <w:bookmarkStart w:id="13" w:name="X1ddd5d36ba395536886a750521fb9a16d69dd27"/>
    <w:p>
      <w:pPr>
        <w:pStyle w:val="Heading2"/>
      </w:pPr>
      <w:r>
        <w:t xml:space="preserve">Recent Corporate Actions Framing the Print</w:t>
      </w:r>
    </w:p>
    <w:p>
      <w:pPr>
        <w:pStyle w:val="FirstParagraph"/>
      </w:pPr>
      <w:r>
        <w:t xml:space="preserve">Two 8-Ks filed in the days before earnings are notable context:</w:t>
      </w:r>
    </w:p>
    <w:p>
      <w:pPr>
        <w:pStyle w:val="Compact"/>
        <w:numPr>
          <w:ilvl w:val="0"/>
          <w:numId w:val="1002"/>
        </w:numPr>
      </w:pPr>
      <w:r>
        <w:rPr>
          <w:b/>
          <w:bCs/>
        </w:rPr>
        <w:t xml:space="preserve">July 23, 2026</w:t>
      </w:r>
      <w:r>
        <w:t xml:space="preserve">: The board approved roughly $60 million in one-time special retention equity awards to CEO Jenny Johnson and the newly configured Co-President team (Daniel Gamba, Terrence Murphy, Matt Nicholls), plus carried-interest allocations ("Carry Incentives") to Johnson and Executive Chairman Greg Johnson tied to the performance of flagship private-markets/alternatives funds. The filing states the awards were designed "to reinforce the team's accountability for delivering strong financial performance and sustained stockholder returns over the next three years and to provide critical stability of leadership for the Company over at least the next five years", with half the equity tied to average operating margin metrics and relative TSR. This signals the board's confidence in — and desire to lock in — the current leadership team and strategy (particularly the alternatives push), but also adds a modest compensation-expense data point to track.</w:t>
      </w:r>
    </w:p>
    <w:p>
      <w:pPr>
        <w:pStyle w:val="Compact"/>
        <w:numPr>
          <w:ilvl w:val="0"/>
          <w:numId w:val="1002"/>
        </w:numPr>
      </w:pPr>
      <w:r>
        <w:rPr>
          <w:b/>
          <w:bCs/>
        </w:rPr>
        <w:t xml:space="preserve">July 30, 2026 (day before earnings)</w:t>
      </w:r>
      <w:r>
        <w:t xml:space="preserve">: Franklin extended its $1.5 billion revolving credit facility maturity to 2031, a routine but reassuring balance-sheet/liquidity management move.</w:t>
      </w:r>
    </w:p>
    <w:p>
      <w:pPr>
        <w:pStyle w:val="FirstParagraph"/>
      </w:pPr>
      <w:r>
        <w:t xml:space="preserve">On capital return, management reiterated its standard priority stack on the last call: protect and grow the dividend (currently $0.33/quarter), fund organic growth (seed capital/co-invest balance rising toward $3 billion by fiscal year-end from $2.9 billion), hedge employee equity grants via buybacks, and pursue opportunistic repurchases and bolt-on M&amp;A focused on distribution and overseas alternatives capabilities.</w:t>
      </w:r>
    </w:p>
    <w:bookmarkEnd w:id="13"/>
    <w:bookmarkStart w:id="14" w:name="sentiment-and-positioning-into-the-print"/>
    <w:p>
      <w:pPr>
        <w:pStyle w:val="Heading2"/>
      </w:pPr>
      <w:r>
        <w:t xml:space="preserve">Sentiment and Positioning Into the Print</w:t>
      </w:r>
    </w:p>
    <w:p>
      <w:pPr>
        <w:pStyle w:val="FirstParagraph"/>
      </w:pPr>
      <w:r>
        <w:t xml:space="preserve">Sell-side sentiment has been improving alongside the stock's re-rating, though views remain split. Morgan Stanley recently raised its price target on BEN to $34 from $31 while maintaining an Equal-Weight rating, and Evercore ISI raised its target to $35 from $32 in mid-July — but notably kept an Underperform rating, underscoring that skepticism about valuation and structural fee pressure persists even as fundamentals improve. The average rating across covering analysts remains a "Hold," suggesting the market is still debating whether the alternatives/Canvas/ETF growth story fully offsets legacy active-fixed-income and equity fee-rate erosion (including the Western Asset overhang).</w:t>
      </w:r>
    </w:p>
    <w:bookmarkEnd w:id="14"/>
    <w:bookmarkStart w:id="15" w:name="key-questions-for-tomorrows-call"/>
    <w:p>
      <w:pPr>
        <w:pStyle w:val="Heading2"/>
      </w:pPr>
      <w:r>
        <w:t xml:space="preserve">Key Questions for Tomorrow's Call</w:t>
      </w:r>
    </w:p>
    <w:p>
      <w:pPr>
        <w:pStyle w:val="Compact"/>
        <w:numPr>
          <w:ilvl w:val="0"/>
          <w:numId w:val="1003"/>
        </w:numPr>
      </w:pPr>
      <w:r>
        <w:rPr>
          <w:b/>
          <w:bCs/>
        </w:rPr>
        <w:t xml:space="preserve">Flow durability</w:t>
      </w:r>
      <w:r>
        <w:t xml:space="preserve">: Did the $16.9 billion long-term net inflow pace from Q2 continue or accelerate in Q3, especially ex-Western?</w:t>
      </w:r>
    </w:p>
    <w:p>
      <w:pPr>
        <w:pStyle w:val="Compact"/>
        <w:numPr>
          <w:ilvl w:val="0"/>
          <w:numId w:val="1003"/>
        </w:numPr>
      </w:pPr>
      <w:r>
        <w:rPr>
          <w:b/>
          <w:bCs/>
        </w:rPr>
        <w:t xml:space="preserve">Fee rate trajectory</w:t>
      </w:r>
      <w:r>
        <w:t xml:space="preserve">: Did the effective fee rate hold in the "mid-to-high 37s" bps guided, and does the strong AUM base translate fully into fee revenue, or is mix-shift (more low-fee cash/fixed income vs. higher-fee alternatives) diluting the benefit?</w:t>
      </w:r>
    </w:p>
    <w:p>
      <w:pPr>
        <w:pStyle w:val="Compact"/>
        <w:numPr>
          <w:ilvl w:val="0"/>
          <w:numId w:val="1003"/>
        </w:numPr>
      </w:pPr>
      <w:r>
        <w:rPr>
          <w:b/>
          <w:bCs/>
        </w:rPr>
        <w:t xml:space="preserve">Alternatives pace</w:t>
      </w:r>
      <w:r>
        <w:t xml:space="preserve">: Is full-year private markets fundraising still tracking toward (or above) the raised $25–30 billion target, and any incremental color on Lexington's flagship fund?</w:t>
      </w:r>
    </w:p>
    <w:p>
      <w:pPr>
        <w:pStyle w:val="Compact"/>
        <w:numPr>
          <w:ilvl w:val="0"/>
          <w:numId w:val="1003"/>
        </w:numPr>
      </w:pPr>
      <w:r>
        <w:rPr>
          <w:b/>
          <w:bCs/>
        </w:rPr>
        <w:t xml:space="preserve">Margin path</w:t>
      </w:r>
      <w:r>
        <w:t xml:space="preserve">: Does management reaffirm or raise the high-20s% Q4 margin guide and the 30%+ FY2027 target given the AUM tailwind?</w:t>
      </w:r>
    </w:p>
    <w:p>
      <w:pPr>
        <w:pStyle w:val="Compact"/>
        <w:numPr>
          <w:ilvl w:val="0"/>
          <w:numId w:val="1003"/>
        </w:numPr>
      </w:pPr>
      <w:r>
        <w:rPr>
          <w:b/>
          <w:bCs/>
        </w:rPr>
        <w:t xml:space="preserve">Expense discipline</w:t>
      </w:r>
      <w:r>
        <w:t xml:space="preserve">: How much of the AI/technology investment and elevated fundraising-related G&amp;A becomes a recurring cost versus a one-time item?</w:t>
      </w:r>
    </w:p>
    <w:p>
      <w:pPr>
        <w:pStyle w:val="Compact"/>
        <w:numPr>
          <w:ilvl w:val="0"/>
          <w:numId w:val="1003"/>
        </w:numPr>
      </w:pPr>
      <w:r>
        <w:rPr>
          <w:b/>
          <w:bCs/>
        </w:rPr>
        <w:t xml:space="preserve">Canvas/SMA/ETF momentum</w:t>
      </w:r>
      <w:r>
        <w:t xml:space="preserve">: Do these growth engines keep compounding at the pace seen in Q1–Q2?</w:t>
      </w:r>
    </w:p>
    <w:bookmarkEnd w:id="15"/>
    <w:bookmarkStart w:id="16" w:name="bottom-line"/>
    <w:p>
      <w:pPr>
        <w:pStyle w:val="Heading2"/>
      </w:pPr>
      <w:r>
        <w:t xml:space="preserve">Bottom Line</w:t>
      </w:r>
    </w:p>
    <w:p>
      <w:pPr>
        <w:pStyle w:val="FirstParagraph"/>
      </w:pPr>
      <w:r>
        <w:t xml:space="preserve">Franklin Resources heads into its fiscal Q3 print with genuinely favorable underlying fundamentals — AUM up roughly 6%+ intra-quarter on the back of markets and inflows, record levels in ETFs, Canvas, and alternatives fundraising, and margin expansion tracking ahead of the company's own multi-year plan. The setup argues for another potential beat, consistent with the last four quarters, but the bar has also risen materially given the stock's ~35-40% YTD rally and consensus already baking in a 35% EPS increase. The swing factors to watch are less about the headline AUM number (already largely known from monthly disclosures) and more about fee-rate mix, expense trajectory relative to the high-20s%/30%+ margin targets, the pace of Western Asset-related redemptions, and any incremental disclosure on the scale of Lexington's next secondaries fund.</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2026-07-31T00:32:45Z</dcterms:created>
  <dcterms:modified xsi:type="dcterms:W3CDTF">2026-07-31T00:32:45Z</dcterms:modified>
</cp:coreProperties>
</file>

<file path=docProps/custom.xml><?xml version="1.0" encoding="utf-8"?>
<Properties xmlns="http://schemas.openxmlformats.org/officeDocument/2006/custom-properties" xmlns:vt="http://schemas.openxmlformats.org/officeDocument/2006/docPropsVTypes"/>
</file>