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ben-fiscal-q3-2026-earnings-preview"/>
    <w:p>
      <w:pPr>
        <w:pStyle w:val="Heading1"/>
      </w:pPr>
      <w:r>
        <w:t xml:space="preserve">BEN Fiscal Q3 2026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Franklin Resources is scheduled to report</w:t>
      </w:r>
      <w:r>
        <w:t xml:space="preserve"> </w:t>
      </w:r>
      <w:r>
        <w:rPr>
          <w:b/>
          <w:bCs/>
        </w:rPr>
        <w:t xml:space="preserve">today, Friday, July 31, 2026</w:t>
      </w:r>
      <w:r>
        <w:t xml:space="preserve">, not tomorrow. Results are due around</w:t>
      </w:r>
      <w:r>
        <w:t xml:space="preserve"> </w:t>
      </w:r>
      <w:r>
        <w:rPr>
          <w:b/>
          <w:bCs/>
        </w:rPr>
        <w:t xml:space="preserve">8:30 a.m. ET</w:t>
      </w:r>
      <w:r>
        <w:t xml:space="preserve">, followed by the earnings call at</w:t>
      </w:r>
      <w:r>
        <w:t xml:space="preserve"> </w:t>
      </w:r>
      <w:r>
        <w:rPr>
          <w:b/>
          <w:bCs/>
        </w:rPr>
        <w:t xml:space="preserve">10:00 a.m. ET</w:t>
      </w:r>
      <w:r>
        <w:t xml:space="preserve">. (</w:t>
      </w:r>
      <w:hyperlink r:id="rId9">
        <w:r>
          <w:rPr>
            <w:rStyle w:val="Hyperlink"/>
          </w:rPr>
          <w:t xml:space="preserve">news.franklinresources.com</w:t>
        </w:r>
      </w:hyperlink>
      <w:r>
        <w:t xml:space="preserve">)</w:t>
      </w:r>
    </w:p>
    <w:bookmarkStart w:id="11" w:name="executive-view"/>
    <w:p>
      <w:pPr>
        <w:pStyle w:val="Heading2"/>
      </w:pPr>
      <w:r>
        <w:t xml:space="preserve">Executive view</w:t>
      </w:r>
    </w:p>
    <w:p>
      <w:pPr>
        <w:pStyle w:val="FirstParagraph"/>
      </w:pPr>
      <w:r>
        <w:t xml:space="preserve">The setup is favorable, but expectations are no longer low.</w:t>
      </w:r>
    </w:p>
    <w:p>
      <w:pPr>
        <w:pStyle w:val="BodyText"/>
      </w:pPr>
      <w:r>
        <w:t xml:space="preserve">Franklin Templeton has already disclosed a strong quarter for assets and flows: preliminary ending AUM reached</w:t>
      </w:r>
      <w:r>
        <w:t xml:space="preserve"> </w:t>
      </w:r>
      <m:oMath>
        <m:r>
          <m:t>1.788</m:t>
        </m:r>
        <m:r>
          <m:t>t</m:t>
        </m:r>
        <m:r>
          <m:t>r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A</m:t>
        </m:r>
        <m:r>
          <m:t>U</m:t>
        </m:r>
        <m:r>
          <m:t>M</m:t>
        </m:r>
        <m:r>
          <m:t>w</m:t>
        </m:r>
        <m:r>
          <m:t>a</m:t>
        </m:r>
        <m:r>
          <m:t>s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1.75 trillion</w:t>
      </w:r>
      <w:r>
        <w:t xml:space="preserve">, and long-term net inflows totaled</w:t>
      </w:r>
      <w:r>
        <w:t xml:space="preserve"> </w:t>
      </w:r>
      <w:r>
        <w:rPr>
          <w:b/>
          <w:bCs/>
        </w:rPr>
        <w:t xml:space="preserve">$18 billion</w:t>
      </w:r>
      <w:r>
        <w:t xml:space="preserve">. The key question is therefore less about headline AUM and more about how effectively that growth translated into</w:t>
      </w:r>
      <w:r>
        <w:t xml:space="preserve"> </w:t>
      </w:r>
      <w:r>
        <w:rPr>
          <w:b/>
          <w:bCs/>
        </w:rPr>
        <w:t xml:space="preserve">management fees, adjusted operating margin and EPS</w:t>
      </w:r>
      <w:r>
        <w:t xml:space="preserve">.</w:t>
      </w:r>
    </w:p>
    <w:p>
      <w:pPr>
        <w:pStyle w:val="BodyText"/>
      </w:pPr>
      <w:r>
        <w:t xml:space="preserve">Consensus adjusted EPS is approximately</w:t>
      </w:r>
      <w:r>
        <w:t xml:space="preserve"> </w:t>
      </w:r>
      <m:oMath>
        <m:r>
          <m:t>0.66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e</m:t>
        </m:r>
        <m:r>
          <m:t>s</m:t>
        </m:r>
        <m:r>
          <m:t>t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s</m:t>
        </m:r>
        <m:r>
          <m:t>r</m:t>
        </m:r>
        <m:r>
          <m:t>a</m:t>
        </m:r>
        <m:r>
          <m:t>n</m:t>
        </m:r>
        <m:r>
          <m:t>g</m:t>
        </m:r>
        <m:r>
          <m:t>i</m:t>
        </m:r>
        <m:r>
          <m:t>n</m:t>
        </m:r>
        <m:r>
          <m:t>g</m:t>
        </m:r>
        <m:r>
          <m:t>f</m:t>
        </m:r>
        <m:r>
          <m:t>r</m:t>
        </m:r>
        <m:r>
          <m:t>o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0.62 to $0.69</w:t>
      </w:r>
      <w:r>
        <w:t xml:space="preserve">. That implies roughly 35% growth from the prior-year quarter’s $0.49, although it would be below fiscal Q2’s $0.71. (</w:t>
      </w:r>
      <w:hyperlink r:id="rId10">
        <w:r>
          <w:rPr>
            <w:rStyle w:val="Hyperlink"/>
          </w:rPr>
          <w:t xml:space="preserve">barchart.com</w:t>
        </w:r>
      </w:hyperlink>
      <w:r>
        <w:t xml:space="preserve">)</w:t>
      </w:r>
    </w:p>
    <w:p>
      <w:pPr>
        <w:pStyle w:val="BodyText"/>
      </w:pPr>
      <w:r>
        <w:t xml:space="preserve">My read:</w:t>
      </w:r>
      <w:r>
        <w:t xml:space="preserve"> </w:t>
      </w:r>
      <w:r>
        <w:rPr>
          <w:b/>
          <w:bCs/>
        </w:rPr>
        <w:t xml:space="preserve">BEN should report healthy underlying results, but the stock probably needs more than a modest EPS beat.</w:t>
      </w:r>
      <w:r>
        <w:t xml:space="preserve"> </w:t>
      </w:r>
      <w:r>
        <w:t xml:space="preserve">A favorable reaction likely requires continued organic-flow breadth, evidence that Western Asset is stabilizing, and confidence in management’s margin-expansion targets.</w:t>
      </w:r>
    </w:p>
    <w:bookmarkEnd w:id="11"/>
    <w:bookmarkStart w:id="13" w:name="key-numbers-going-into-the-report"/>
    <w:p>
      <w:pPr>
        <w:pStyle w:val="Heading2"/>
      </w:pPr>
      <w:r>
        <w:t xml:space="preserve">Key numbers going into the report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Fiscal Q3 setup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Fiscal Q2 2026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Consensus ~$0.66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$0.71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Ending AUM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$1.788T preliminary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$1.682T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Average AUM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$1.75T preliminary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$1.702T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Long-term net flows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$18B preliminary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$16.9B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Western Asset long-term flows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$(1)B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$(4.1)B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Not yet reported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27.1%</w:t>
            </w:r>
          </w:p>
        </w:tc>
      </w:tr>
    </w:tbl>
    <w:p>
      <w:pPr>
        <w:pStyle w:val="BodyText"/>
      </w:pPr>
      <w:r>
        <w:t xml:space="preserve">Fiscal Q2 was strong: adjusted operating income rose to</w:t>
      </w:r>
      <w:r>
        <w:t xml:space="preserve"> </w:t>
      </w:r>
      <m:oMath>
        <m:r>
          <m:t>474.6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P</m:t>
        </m:r>
        <m:r>
          <m:t>S</m:t>
        </m:r>
        <m:r>
          <m:t>w</m:t>
        </m:r>
        <m:r>
          <m:t>a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0.71</w:t>
      </w:r>
      <w:r>
        <w:t xml:space="preserve">, and adjusted operating margin expanded to</w:t>
      </w:r>
      <w:r>
        <w:t xml:space="preserve"> </w:t>
      </w:r>
      <w:r>
        <w:rPr>
          <w:b/>
          <w:bCs/>
        </w:rPr>
        <w:t xml:space="preserve">27.1%</w:t>
      </w:r>
      <w:r>
        <w:t xml:space="preserve"> </w:t>
      </w:r>
      <w:r>
        <w:t xml:space="preserve">from 23.4% a year earlier. Long-term net flows were $16.9 billion, reversing the prior-year quarter’s $26.2 billion of outflows. (</w:t>
      </w:r>
      <w:hyperlink r:id="rId12">
        <w:r>
          <w:rPr>
            <w:rStyle w:val="Hyperlink"/>
          </w:rPr>
          <w:t xml:space="preserve">s201.q4cdn.com</w:t>
        </w:r>
      </w:hyperlink>
      <w:r>
        <w:t xml:space="preserve">)</w:t>
      </w:r>
    </w:p>
    <w:bookmarkEnd w:id="13"/>
    <w:bookmarkStart w:id="15" w:name="X603e99c572a7b630b54f788cec4558b42e68cac"/>
    <w:p>
      <w:pPr>
        <w:pStyle w:val="Heading2"/>
      </w:pPr>
      <w:r>
        <w:t xml:space="preserve">1. AUM and flows have largely de-risked the revenue backdrop</w:t>
      </w:r>
    </w:p>
    <w:p>
      <w:pPr>
        <w:pStyle w:val="FirstParagraph"/>
      </w:pPr>
      <w:r>
        <w:t xml:space="preserve">Ending AUM increased approximately</w:t>
      </w:r>
      <w:r>
        <w:t xml:space="preserve"> </w:t>
      </w:r>
      <w:r>
        <w:rPr>
          <w:b/>
          <w:bCs/>
        </w:rPr>
        <w:t xml:space="preserve">6% sequentially</w:t>
      </w:r>
      <w:r>
        <w:t xml:space="preserve"> </w:t>
      </w:r>
      <w:r>
        <w:t xml:space="preserve">from March, while average AUM rose about</w:t>
      </w:r>
      <w:r>
        <w:t xml:space="preserve"> </w:t>
      </w:r>
      <w:r>
        <w:rPr>
          <w:b/>
          <w:bCs/>
        </w:rPr>
        <w:t xml:space="preserve">3%</w:t>
      </w:r>
      <w:r>
        <w:t xml:space="preserve">. That should provide a solid base for recurring management fees.</w:t>
      </w:r>
    </w:p>
    <w:p>
      <w:pPr>
        <w:pStyle w:val="BodyText"/>
      </w:pPr>
      <w:r>
        <w:t xml:space="preserve">The composition was also constructive: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Equity AUM:</w:t>
      </w:r>
      <w:r>
        <w:t xml:space="preserve"> </w:t>
      </w:r>
      <w:r>
        <w:t xml:space="preserve">$756.8B, up from $669.7B at March 31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Fixed income:</w:t>
      </w:r>
      <w:r>
        <w:t xml:space="preserve"> </w:t>
      </w:r>
      <w:r>
        <w:t xml:space="preserve">$441.3B, up from $434.3B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Alternatives:</w:t>
      </w:r>
      <w:r>
        <w:t xml:space="preserve"> </w:t>
      </w:r>
      <w:r>
        <w:t xml:space="preserve">$290.7B, up from $282.8B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Multi-asset:</w:t>
      </w:r>
      <w:r>
        <w:t xml:space="preserve"> </w:t>
      </w:r>
      <w:r>
        <w:t xml:space="preserve">$218.5B, up from $207.5B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Cash management:</w:t>
      </w:r>
      <w:r>
        <w:t xml:space="preserve"> </w:t>
      </w:r>
      <w:r>
        <w:t xml:space="preserve">$80.6B, down from $87.8B</w:t>
      </w:r>
    </w:p>
    <w:p>
      <w:pPr>
        <w:pStyle w:val="FirstParagraph"/>
      </w:pPr>
      <w:r>
        <w:t xml:space="preserve">Long-term net inflows were</w:t>
      </w:r>
      <w:r>
        <w:t xml:space="preserve"> </w:t>
      </w:r>
      <w:r>
        <w:rPr>
          <w:b/>
          <w:bCs/>
        </w:rPr>
        <w:t xml:space="preserve">$18 billion</w:t>
      </w:r>
      <w:r>
        <w:t xml:space="preserve">, including only $1 billion of outflows at Western Asset. Excluding Western Asset, inflows were $19 billion. (</w:t>
      </w:r>
      <w:hyperlink r:id="rId14">
        <w:r>
          <w:rPr>
            <w:rStyle w:val="Hyperlink"/>
          </w:rPr>
          <w:t xml:space="preserve">businesswire.com</w:t>
        </w:r>
      </w:hyperlink>
      <w:r>
        <w:t xml:space="preserve">)</w:t>
      </w:r>
    </w:p>
    <w:p>
      <w:pPr>
        <w:pStyle w:val="BodyText"/>
      </w:pPr>
      <w:r>
        <w:t xml:space="preserve">The remaining questions are:</w:t>
      </w:r>
    </w:p>
    <w:p>
      <w:pPr>
        <w:pStyle w:val="Compact"/>
        <w:numPr>
          <w:ilvl w:val="0"/>
          <w:numId w:val="1002"/>
        </w:numPr>
      </w:pPr>
      <w:r>
        <w:t xml:space="preserve">How much of the inflow total came from reinvested distributions?</w:t>
      </w:r>
    </w:p>
    <w:p>
      <w:pPr>
        <w:pStyle w:val="Compact"/>
        <w:numPr>
          <w:ilvl w:val="0"/>
          <w:numId w:val="1002"/>
        </w:numPr>
      </w:pPr>
      <w:r>
        <w:t xml:space="preserve">Were flows concentrated in a few institutional mandates or broadly distributed?</w:t>
      </w:r>
    </w:p>
    <w:p>
      <w:pPr>
        <w:pStyle w:val="Compact"/>
        <w:numPr>
          <w:ilvl w:val="0"/>
          <w:numId w:val="1002"/>
        </w:numPr>
      </w:pPr>
      <w:r>
        <w:t xml:space="preserve">Did the inflows favor higher-fee alternatives, active strategies and SMAs, or lower-fee products?</w:t>
      </w:r>
    </w:p>
    <w:p>
      <w:pPr>
        <w:pStyle w:val="Compact"/>
        <w:numPr>
          <w:ilvl w:val="0"/>
          <w:numId w:val="1002"/>
        </w:numPr>
      </w:pPr>
      <w:r>
        <w:t xml:space="preserve">Did gross redemptions continue to improve?</w:t>
      </w:r>
    </w:p>
    <w:p>
      <w:pPr>
        <w:pStyle w:val="FirstParagraph"/>
      </w:pPr>
      <w:r>
        <w:t xml:space="preserve">AUM alone does not determine earnings;</w:t>
      </w:r>
      <w:r>
        <w:t xml:space="preserve"> </w:t>
      </w:r>
      <w:r>
        <w:rPr>
          <w:b/>
          <w:bCs/>
        </w:rPr>
        <w:t xml:space="preserve">asset mix and realized fee rates matter considerably</w:t>
      </w:r>
      <w:r>
        <w:t xml:space="preserve">.</w:t>
      </w:r>
    </w:p>
    <w:bookmarkEnd w:id="15"/>
    <w:bookmarkStart w:id="16" w:name="Xfd4aefaf0def2d0c0aa9417bcfa412de529b1bf"/>
    <w:p>
      <w:pPr>
        <w:pStyle w:val="Heading2"/>
      </w:pPr>
      <w:r>
        <w:t xml:space="preserve">2. Fee-rate realization may determine the size of the EPS surprise</w:t>
      </w:r>
    </w:p>
    <w:p>
      <w:pPr>
        <w:pStyle w:val="FirstParagraph"/>
      </w:pPr>
      <w:r>
        <w:t xml:space="preserve">Management previously guided fiscal Q3’s effective investment-management fee rate to the</w:t>
      </w:r>
      <w:r>
        <w:t xml:space="preserve"> </w:t>
      </w:r>
      <w:r>
        <w:rPr>
          <w:b/>
          <w:bCs/>
        </w:rPr>
        <w:t xml:space="preserve">mid-to-high 37-basis-point range</w:t>
      </w:r>
      <w:r>
        <w:t xml:space="preserve">. That is an important benchmark because the quarter’s strong equity markets could increase AUM without producing proportional fee growth if incremental assets are concentrated in lower-fee ETFs or institutional accounts.</w:t>
      </w:r>
    </w:p>
    <w:p>
      <w:pPr>
        <w:pStyle w:val="BodyText"/>
      </w:pPr>
      <w:r>
        <w:t xml:space="preserve">Investors should compare:</w:t>
      </w:r>
    </w:p>
    <w:p>
      <w:pPr>
        <w:pStyle w:val="Compact"/>
        <w:numPr>
          <w:ilvl w:val="0"/>
          <w:numId w:val="1003"/>
        </w:numPr>
      </w:pPr>
      <w:r>
        <w:t xml:space="preserve">Reported effective fee rate versus the mid/high-37-basis-point guide</w:t>
      </w:r>
    </w:p>
    <w:p>
      <w:pPr>
        <w:pStyle w:val="Compact"/>
        <w:numPr>
          <w:ilvl w:val="0"/>
          <w:numId w:val="1003"/>
        </w:numPr>
      </w:pPr>
      <w:r>
        <w:t xml:space="preserve">Performance fees versus the approximately $50 million assumed in management’s compensation guidance</w:t>
      </w:r>
    </w:p>
    <w:p>
      <w:pPr>
        <w:pStyle w:val="Compact"/>
        <w:numPr>
          <w:ilvl w:val="0"/>
          <w:numId w:val="1003"/>
        </w:numPr>
      </w:pPr>
      <w:r>
        <w:t xml:space="preserve">Adjusted management-fee revenue growth versus average-AUM growth</w:t>
      </w:r>
    </w:p>
    <w:p>
      <w:pPr>
        <w:pStyle w:val="Compact"/>
        <w:numPr>
          <w:ilvl w:val="0"/>
          <w:numId w:val="1003"/>
        </w:numPr>
      </w:pPr>
      <w:r>
        <w:t xml:space="preserve">Changes in alternative and performance-fee revenue</w:t>
      </w:r>
    </w:p>
    <w:p>
      <w:pPr>
        <w:pStyle w:val="FirstParagraph"/>
      </w:pPr>
      <w:r>
        <w:t xml:space="preserve">Consensus revenue figures vary significantly across data providers because some use reported revenue while others emphasize adjusted revenue. For BEN,</w:t>
      </w:r>
      <w:r>
        <w:t xml:space="preserve"> </w:t>
      </w:r>
      <w:r>
        <w:rPr>
          <w:b/>
          <w:bCs/>
        </w:rPr>
        <w:t xml:space="preserve">adjusted operating revenue, fee rate and margin are more informative than a generic headline revenue comparison</w:t>
      </w:r>
      <w:r>
        <w:t xml:space="preserve">.</w:t>
      </w:r>
    </w:p>
    <w:bookmarkEnd w:id="16"/>
    <w:bookmarkStart w:id="17" w:name="X541d5e34d607a388d4ce79d1bdd0c22c1ddf84b"/>
    <w:p>
      <w:pPr>
        <w:pStyle w:val="Heading2"/>
      </w:pPr>
      <w:r>
        <w:t xml:space="preserve">3. Private markets remain the most important structural-growth story</w:t>
      </w:r>
    </w:p>
    <w:p>
      <w:pPr>
        <w:pStyle w:val="FirstParagraph"/>
      </w:pPr>
      <w:r>
        <w:t xml:space="preserve">Fiscal Q2 private-markets fundraising reached</w:t>
      </w:r>
      <w:r>
        <w:t xml:space="preserve"> </w:t>
      </w:r>
      <m:oMath>
        <m:r>
          <m:t>13.2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t</m:t>
        </m:r>
        <m:r>
          <m:t>a</m:t>
        </m:r>
        <m:r>
          <m:t>k</m:t>
        </m:r>
        <m:r>
          <m:t>i</m:t>
        </m:r>
        <m:r>
          <m:t>n</m:t>
        </m:r>
        <m:r>
          <m:t>g</m:t>
        </m:r>
        <m:r>
          <m:t>f</m:t>
        </m:r>
        <m:r>
          <m:t>i</m:t>
        </m:r>
        <m:r>
          <m:t>s</m:t>
        </m:r>
        <m:r>
          <m:t>c</m:t>
        </m:r>
        <m:r>
          <m:t>a</m:t>
        </m:r>
        <m:r>
          <m:t>l</m:t>
        </m:r>
        <m:r>
          <m:t>y</m:t>
        </m:r>
        <m:r>
          <m:t>e</m:t>
        </m:r>
        <m:r>
          <m:t>a</m:t>
        </m:r>
        <m:r>
          <m:t>r</m:t>
        </m:r>
        <m:r>
          <m:rPr>
            <m:sty m:val="p"/>
          </m:rPr>
          <m:t>−</m:t>
        </m:r>
        <m:r>
          <m:t>t</m:t>
        </m:r>
        <m:r>
          <m:t>o</m:t>
        </m:r>
        <m:r>
          <m:rPr>
            <m:sty m:val="p"/>
          </m:rPr>
          <m:t>−</m:t>
        </m:r>
        <m:r>
          <m:t>d</m:t>
        </m:r>
        <m:r>
          <m:t>a</m:t>
        </m:r>
        <m:r>
          <m:t>t</m:t>
        </m:r>
        <m:r>
          <m:t>e</m:t>
        </m:r>
        <m:r>
          <m:t>f</m:t>
        </m:r>
        <m:r>
          <m:t>u</m:t>
        </m:r>
        <m:r>
          <m:t>n</m:t>
        </m:r>
        <m:r>
          <m:t>d</m:t>
        </m:r>
        <m:r>
          <m:t>r</m:t>
        </m:r>
        <m:r>
          <m:t>a</m:t>
        </m:r>
        <m:r>
          <m:t>i</m:t>
        </m:r>
        <m:r>
          <m:t>s</m:t>
        </m:r>
        <m:r>
          <m:t>i</m:t>
        </m:r>
        <m:r>
          <m:t>n</m:t>
        </m:r>
        <m:r>
          <m:t>g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22.7 billion</w:t>
      </w:r>
      <w:r>
        <w:t xml:space="preserve">. Management said it expected to exceed its</w:t>
      </w:r>
      <w:r>
        <w:t xml:space="preserve"> </w:t>
      </w:r>
      <m:oMath>
        <m:r>
          <m:t>25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t xml:space="preserve">30 billion annual fundraising target. Growth was diversified across alternative credit, secondary private equity, real estate and venture strategies. (</w:t>
      </w:r>
      <w:hyperlink r:id="rId12">
        <w:r>
          <w:rPr>
            <w:rStyle w:val="Hyperlink"/>
          </w:rPr>
          <w:t xml:space="preserve">s201.q4cdn.com</w:t>
        </w:r>
      </w:hyperlink>
      <w:r>
        <w:t xml:space="preserve">)</w:t>
      </w:r>
    </w:p>
    <w:p>
      <w:pPr>
        <w:pStyle w:val="BodyText"/>
      </w:pPr>
      <w:r>
        <w:t xml:space="preserve">For Q3, watch for:</w:t>
      </w:r>
    </w:p>
    <w:p>
      <w:pPr>
        <w:pStyle w:val="Compact"/>
        <w:numPr>
          <w:ilvl w:val="0"/>
          <w:numId w:val="1004"/>
        </w:numPr>
      </w:pPr>
      <w:r>
        <w:t xml:space="preserve">Total fiscal year-to-date private-markets fundraising</w:t>
      </w:r>
    </w:p>
    <w:p>
      <w:pPr>
        <w:pStyle w:val="Compact"/>
        <w:numPr>
          <w:ilvl w:val="0"/>
          <w:numId w:val="1004"/>
        </w:numPr>
      </w:pPr>
      <w:r>
        <w:t xml:space="preserve">An update on Lexington’s next flagship secondaries fund</w:t>
      </w:r>
    </w:p>
    <w:p>
      <w:pPr>
        <w:pStyle w:val="Compact"/>
        <w:numPr>
          <w:ilvl w:val="0"/>
          <w:numId w:val="1004"/>
        </w:numPr>
      </w:pPr>
      <w:r>
        <w:t xml:space="preserve">The percentage of alternative AUM currently earning fees</w:t>
      </w:r>
    </w:p>
    <w:p>
      <w:pPr>
        <w:pStyle w:val="Compact"/>
        <w:numPr>
          <w:ilvl w:val="0"/>
          <w:numId w:val="1004"/>
        </w:numPr>
      </w:pPr>
      <w:r>
        <w:t xml:space="preserve">Timing for committed but not yet fee-paying capital</w:t>
      </w:r>
    </w:p>
    <w:p>
      <w:pPr>
        <w:pStyle w:val="Compact"/>
        <w:numPr>
          <w:ilvl w:val="0"/>
          <w:numId w:val="1004"/>
        </w:numPr>
      </w:pPr>
      <w:r>
        <w:t xml:space="preserve">Fundraising-related expenses and placement fees</w:t>
      </w:r>
    </w:p>
    <w:p>
      <w:pPr>
        <w:pStyle w:val="Compact"/>
        <w:numPr>
          <w:ilvl w:val="0"/>
          <w:numId w:val="1004"/>
        </w:numPr>
      </w:pPr>
      <w:r>
        <w:t xml:space="preserve">Any performance or catch-up fees</w:t>
      </w:r>
    </w:p>
    <w:p>
      <w:pPr>
        <w:pStyle w:val="Compact"/>
        <w:numPr>
          <w:ilvl w:val="0"/>
          <w:numId w:val="1004"/>
        </w:numPr>
      </w:pPr>
      <w:r>
        <w:t xml:space="preserve">Credit quality and redemption trends in private-credit strategies</w:t>
      </w:r>
    </w:p>
    <w:p>
      <w:pPr>
        <w:pStyle w:val="FirstParagraph"/>
      </w:pPr>
      <w:r>
        <w:t xml:space="preserve">Alternative AUM ended June at</w:t>
      </w:r>
      <w:r>
        <w:t xml:space="preserve"> </w:t>
      </w:r>
      <w:r>
        <w:rPr>
          <w:b/>
          <w:bCs/>
        </w:rPr>
        <w:t xml:space="preserve">$290.7 billion</w:t>
      </w:r>
      <w:r>
        <w:t xml:space="preserve">, up 13% year over year despite approximately $3 billion of quarterly realizations and distributions. (</w:t>
      </w:r>
      <w:hyperlink r:id="rId14">
        <w:r>
          <w:rPr>
            <w:rStyle w:val="Hyperlink"/>
          </w:rPr>
          <w:t xml:space="preserve">businesswire.com</w:t>
        </w:r>
      </w:hyperlink>
      <w:r>
        <w:t xml:space="preserve">)</w:t>
      </w:r>
    </w:p>
    <w:p>
      <w:pPr>
        <w:pStyle w:val="BodyText"/>
      </w:pPr>
      <w:r>
        <w:t xml:space="preserve">The most bullish outcome would be continued fundraising strength accompanied by evidence that commitments are converting into fee-paying AUM. Strong fundraising without near-term fee realization would be strategically positive but less meaningful for current earnings.</w:t>
      </w:r>
    </w:p>
    <w:bookmarkEnd w:id="17"/>
    <w:bookmarkStart w:id="19" w:name="Xba602ef7f0ba40cdc76ed5e5ea078137a44be64"/>
    <w:p>
      <w:pPr>
        <w:pStyle w:val="Heading2"/>
      </w:pPr>
      <w:r>
        <w:t xml:space="preserve">4. Margin progression is the central financial debate</w:t>
      </w:r>
    </w:p>
    <w:p>
      <w:pPr>
        <w:pStyle w:val="FirstParagraph"/>
      </w:pPr>
      <w:r>
        <w:t xml:space="preserve">Management previously outlined:</w:t>
      </w:r>
    </w:p>
    <w:p>
      <w:pPr>
        <w:pStyle w:val="Compact"/>
        <w:numPr>
          <w:ilvl w:val="0"/>
          <w:numId w:val="1005"/>
        </w:numPr>
      </w:pPr>
      <w:r>
        <w:t xml:space="preserve">Fiscal Q3 compensation expense of roughly</w:t>
      </w:r>
      <w:r>
        <w:t xml:space="preserve"> </w:t>
      </w:r>
      <w:r>
        <w:rPr>
          <w:b/>
          <w:bCs/>
        </w:rPr>
        <w:t xml:space="preserve">$830 million</w:t>
      </w:r>
      <w:r>
        <w:t xml:space="preserve">, assuming $50 million of performance fees</w:t>
      </w:r>
    </w:p>
    <w:p>
      <w:pPr>
        <w:pStyle w:val="Compact"/>
        <w:numPr>
          <w:ilvl w:val="0"/>
          <w:numId w:val="1005"/>
        </w:numPr>
      </w:pPr>
      <w:r>
        <w:t xml:space="preserve">IS&amp;T expense of approximately</w:t>
      </w:r>
      <w:r>
        <w:t xml:space="preserve"> </w:t>
      </w:r>
      <w:r>
        <w:rPr>
          <w:b/>
          <w:bCs/>
        </w:rPr>
        <w:t xml:space="preserve">$155 million</w:t>
      </w:r>
    </w:p>
    <w:p>
      <w:pPr>
        <w:pStyle w:val="Compact"/>
        <w:numPr>
          <w:ilvl w:val="0"/>
          <w:numId w:val="1005"/>
        </w:numPr>
      </w:pPr>
      <w:r>
        <w:t xml:space="preserve">Occupancy expense of approximately</w:t>
      </w:r>
      <w:r>
        <w:t xml:space="preserve"> </w:t>
      </w:r>
      <w:r>
        <w:rPr>
          <w:b/>
          <w:bCs/>
        </w:rPr>
        <w:t xml:space="preserve">$70 million</w:t>
      </w:r>
    </w:p>
    <w:p>
      <w:pPr>
        <w:pStyle w:val="Compact"/>
        <w:numPr>
          <w:ilvl w:val="0"/>
          <w:numId w:val="1005"/>
        </w:numPr>
      </w:pPr>
      <w:r>
        <w:t xml:space="preserve">G&amp;A of</w:t>
      </w:r>
      <w:r>
        <w:t xml:space="preserve"> </w:t>
      </w:r>
      <m:oMath>
        <m:r>
          <m:t>210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215 million</w:t>
      </w:r>
      <w:r>
        <w:t xml:space="preserve">, including elevated fundraising and advertising costs</w:t>
      </w:r>
    </w:p>
    <w:p>
      <w:pPr>
        <w:pStyle w:val="Compact"/>
        <w:numPr>
          <w:ilvl w:val="0"/>
          <w:numId w:val="1005"/>
        </w:numPr>
      </w:pPr>
      <w:r>
        <w:t xml:space="preserve">Full-year adjusted operating margin in the</w:t>
      </w:r>
      <w:r>
        <w:t xml:space="preserve"> </w:t>
      </w:r>
      <w:r>
        <w:rPr>
          <w:b/>
          <w:bCs/>
        </w:rPr>
        <w:t xml:space="preserve">27% range</w:t>
      </w:r>
    </w:p>
    <w:p>
      <w:pPr>
        <w:pStyle w:val="Compact"/>
        <w:numPr>
          <w:ilvl w:val="0"/>
          <w:numId w:val="1005"/>
        </w:numPr>
      </w:pPr>
      <w:r>
        <w:t xml:space="preserve">Fiscal Q4 adjusted margin in the</w:t>
      </w:r>
      <w:r>
        <w:t xml:space="preserve"> </w:t>
      </w:r>
      <w:r>
        <w:rPr>
          <w:b/>
          <w:bCs/>
        </w:rPr>
        <w:t xml:space="preserve">high-29% range</w:t>
      </w:r>
    </w:p>
    <w:p>
      <w:pPr>
        <w:pStyle w:val="Compact"/>
        <w:numPr>
          <w:ilvl w:val="0"/>
          <w:numId w:val="1005"/>
        </w:numPr>
      </w:pPr>
      <w:r>
        <w:t xml:space="preserve">A path toward</w:t>
      </w:r>
      <w:r>
        <w:t xml:space="preserve"> </w:t>
      </w:r>
      <w:r>
        <w:rPr>
          <w:b/>
          <w:bCs/>
        </w:rPr>
        <w:t xml:space="preserve">30%+ margins later in fiscal 2027</w:t>
      </w:r>
      <w:r>
        <w:t xml:space="preserve"> </w:t>
      </w:r>
      <w:r>
        <w:t xml:space="preserve">(</w:t>
      </w:r>
      <w:hyperlink r:id="rId18">
        <w:r>
          <w:rPr>
            <w:rStyle w:val="Hyperlink"/>
          </w:rPr>
          <w:t xml:space="preserve">tipranks.com</w:t>
        </w:r>
      </w:hyperlink>
      <w:r>
        <w:t xml:space="preserve">)</w:t>
      </w:r>
    </w:p>
    <w:p>
      <w:pPr>
        <w:pStyle w:val="FirstParagraph"/>
      </w:pPr>
      <w:r>
        <w:t xml:space="preserve">Given the increase in average AUM, BEN should have a favorable revenue backdrop. The test is whether operating leverage appears despite:</w:t>
      </w:r>
    </w:p>
    <w:p>
      <w:pPr>
        <w:pStyle w:val="Compact"/>
        <w:numPr>
          <w:ilvl w:val="0"/>
          <w:numId w:val="1006"/>
        </w:numPr>
      </w:pPr>
      <w:r>
        <w:t xml:space="preserve">Fundraising and placement costs</w:t>
      </w:r>
    </w:p>
    <w:p>
      <w:pPr>
        <w:pStyle w:val="Compact"/>
        <w:numPr>
          <w:ilvl w:val="0"/>
          <w:numId w:val="1006"/>
        </w:numPr>
      </w:pPr>
      <w:r>
        <w:t xml:space="preserve">Higher incentive compensation</w:t>
      </w:r>
    </w:p>
    <w:p>
      <w:pPr>
        <w:pStyle w:val="Compact"/>
        <w:numPr>
          <w:ilvl w:val="0"/>
          <w:numId w:val="1006"/>
        </w:numPr>
      </w:pPr>
      <w:r>
        <w:t xml:space="preserve">AI and technology investment</w:t>
      </w:r>
    </w:p>
    <w:p>
      <w:pPr>
        <w:pStyle w:val="Compact"/>
        <w:numPr>
          <w:ilvl w:val="0"/>
          <w:numId w:val="1006"/>
        </w:numPr>
      </w:pPr>
      <w:r>
        <w:t xml:space="preserve">Advertising spending</w:t>
      </w:r>
    </w:p>
    <w:p>
      <w:pPr>
        <w:pStyle w:val="Compact"/>
        <w:numPr>
          <w:ilvl w:val="0"/>
          <w:numId w:val="1006"/>
        </w:numPr>
      </w:pPr>
      <w:r>
        <w:t xml:space="preserve">Integration and retention expenses</w:t>
      </w:r>
    </w:p>
    <w:p>
      <w:pPr>
        <w:pStyle w:val="FirstParagraph"/>
      </w:pPr>
      <w:r>
        <w:t xml:space="preserve">A Q3 margin that keeps the high-29% fiscal Q4 target credible would matter more than a few cents of EPS generated by volatile investment income.</w:t>
      </w:r>
    </w:p>
    <w:bookmarkEnd w:id="19"/>
    <w:bookmarkStart w:id="20" w:name="X2b4e6e6c06bf8408ec233978c41c4d17893b73a"/>
    <w:p>
      <w:pPr>
        <w:pStyle w:val="Heading2"/>
      </w:pPr>
      <w:r>
        <w:t xml:space="preserve">5. The durability of the newer growth engines</w:t>
      </w:r>
    </w:p>
    <w:p>
      <w:pPr>
        <w:pStyle w:val="FirstParagraph"/>
      </w:pPr>
      <w:r>
        <w:t xml:space="preserve">BEN’s recent improvement has come from more than market appreciation. Management has emphasized several organic-growth platforms:</w:t>
      </w:r>
    </w:p>
    <w:p>
      <w:pPr>
        <w:pStyle w:val="Compact"/>
        <w:numPr>
          <w:ilvl w:val="0"/>
          <w:numId w:val="1007"/>
        </w:numPr>
      </w:pPr>
      <w:r>
        <w:t xml:space="preserve">ETFs</w:t>
      </w:r>
    </w:p>
    <w:p>
      <w:pPr>
        <w:pStyle w:val="Compact"/>
        <w:numPr>
          <w:ilvl w:val="0"/>
          <w:numId w:val="1007"/>
        </w:numPr>
      </w:pPr>
      <w:r>
        <w:t xml:space="preserve">Canvas and tax-managed customization</w:t>
      </w:r>
    </w:p>
    <w:p>
      <w:pPr>
        <w:pStyle w:val="Compact"/>
        <w:numPr>
          <w:ilvl w:val="0"/>
          <w:numId w:val="1007"/>
        </w:numPr>
      </w:pPr>
      <w:r>
        <w:t xml:space="preserve">Retail separately managed accounts</w:t>
      </w:r>
    </w:p>
    <w:p>
      <w:pPr>
        <w:pStyle w:val="Compact"/>
        <w:numPr>
          <w:ilvl w:val="0"/>
          <w:numId w:val="1007"/>
        </w:numPr>
      </w:pPr>
      <w:r>
        <w:t xml:space="preserve">Multi-asset solutions</w:t>
      </w:r>
    </w:p>
    <w:p>
      <w:pPr>
        <w:pStyle w:val="Compact"/>
        <w:numPr>
          <w:ilvl w:val="0"/>
          <w:numId w:val="1007"/>
        </w:numPr>
      </w:pPr>
      <w:r>
        <w:t xml:space="preserve">Private markets</w:t>
      </w:r>
    </w:p>
    <w:p>
      <w:pPr>
        <w:pStyle w:val="Compact"/>
        <w:numPr>
          <w:ilvl w:val="0"/>
          <w:numId w:val="1007"/>
        </w:numPr>
      </w:pPr>
      <w:r>
        <w:t xml:space="preserve">International distribution</w:t>
      </w:r>
    </w:p>
    <w:p>
      <w:pPr>
        <w:pStyle w:val="FirstParagraph"/>
      </w:pPr>
      <w:r>
        <w:t xml:space="preserve">In fiscal Q2, ETFs and Canvas generated</w:t>
      </w:r>
      <w:r>
        <w:t xml:space="preserve"> </w:t>
      </w:r>
      <w:r>
        <w:rPr>
          <w:b/>
          <w:bCs/>
        </w:rPr>
        <w:t xml:space="preserve">$4.5 billion and $5.3 billion of net inflows</w:t>
      </w:r>
      <w:r>
        <w:t xml:space="preserve">, respectively, while multi-asset produced $9.5 billion of inflows. (</w:t>
      </w:r>
      <w:hyperlink r:id="rId12">
        <w:r>
          <w:rPr>
            <w:rStyle w:val="Hyperlink"/>
          </w:rPr>
          <w:t xml:space="preserve">s201.q4cdn.com</w:t>
        </w:r>
      </w:hyperlink>
      <w:r>
        <w:t xml:space="preserve">)</w:t>
      </w:r>
    </w:p>
    <w:p>
      <w:pPr>
        <w:pStyle w:val="BodyText"/>
      </w:pPr>
      <w:r>
        <w:t xml:space="preserve">Investors should look for updated AUM and flows for each platform. Continued growth would support the argument that Franklin Templeton is evolving from a collection of acquired managers into a more integrated distribution and solutions platform.</w:t>
      </w:r>
    </w:p>
    <w:p>
      <w:pPr>
        <w:pStyle w:val="BodyText"/>
      </w:pPr>
      <w:r>
        <w:t xml:space="preserve">The caveat is economics: some fast-growing vehicles have lower fee rates. BEN needs growth in these products to produce enough scale and operating leverage to offset fee compression.</w:t>
      </w:r>
    </w:p>
    <w:bookmarkEnd w:id="20"/>
    <w:bookmarkStart w:id="21" w:name="X0004563a72d107e3171c896ae92c5219a79cdca"/>
    <w:p>
      <w:pPr>
        <w:pStyle w:val="Heading2"/>
      </w:pPr>
      <w:r>
        <w:t xml:space="preserve">6. Western Asset: stabilization is encouraging, but the overhang remains</w:t>
      </w:r>
    </w:p>
    <w:p>
      <w:pPr>
        <w:pStyle w:val="FirstParagraph"/>
      </w:pPr>
      <w:r>
        <w:t xml:space="preserve">Western Asset’s long-term outflows improved substantially:</w:t>
      </w:r>
    </w:p>
    <w:p>
      <w:pPr>
        <w:pStyle w:val="Compact"/>
        <w:numPr>
          <w:ilvl w:val="0"/>
          <w:numId w:val="1008"/>
        </w:numPr>
      </w:pPr>
      <w:r>
        <w:t xml:space="preserve">Fiscal Q2: approximately</w:t>
      </w:r>
      <w:r>
        <w:t xml:space="preserve"> </w:t>
      </w:r>
      <w:r>
        <w:rPr>
          <w:b/>
          <w:bCs/>
        </w:rPr>
        <w:t xml:space="preserve">$4.1 billion of outflows</w:t>
      </w:r>
    </w:p>
    <w:p>
      <w:pPr>
        <w:pStyle w:val="Compact"/>
        <w:numPr>
          <w:ilvl w:val="0"/>
          <w:numId w:val="1008"/>
        </w:numPr>
      </w:pPr>
      <w:r>
        <w:t xml:space="preserve">Fiscal Q3 preliminary: approximately</w:t>
      </w:r>
      <w:r>
        <w:t xml:space="preserve"> </w:t>
      </w:r>
      <w:r>
        <w:rPr>
          <w:b/>
          <w:bCs/>
        </w:rPr>
        <w:t xml:space="preserve">$1 billion of outflows</w:t>
      </w:r>
    </w:p>
    <w:p>
      <w:pPr>
        <w:pStyle w:val="Compact"/>
        <w:numPr>
          <w:ilvl w:val="0"/>
          <w:numId w:val="1008"/>
        </w:numPr>
      </w:pPr>
      <w:r>
        <w:t xml:space="preserve">June alone: long-term flows were flat</w:t>
      </w:r>
    </w:p>
    <w:p>
      <w:pPr>
        <w:pStyle w:val="FirstParagraph"/>
      </w:pPr>
      <w:r>
        <w:t xml:space="preserve">Western ended June with approximately</w:t>
      </w:r>
      <w:r>
        <w:t xml:space="preserve"> </w:t>
      </w:r>
      <w:r>
        <w:rPr>
          <w:b/>
          <w:bCs/>
        </w:rPr>
        <w:t xml:space="preserve">$217 billion of AUM</w:t>
      </w:r>
      <w:r>
        <w:t xml:space="preserve">. However, it experienced $9 billion of cash-management outflows during the quarter. (</w:t>
      </w:r>
      <w:hyperlink r:id="rId14">
        <w:r>
          <w:rPr>
            <w:rStyle w:val="Hyperlink"/>
          </w:rPr>
          <w:t xml:space="preserve">businesswire.com</w:t>
        </w:r>
      </w:hyperlink>
      <w:r>
        <w:t xml:space="preserve">)</w:t>
      </w:r>
    </w:p>
    <w:p>
      <w:pPr>
        <w:pStyle w:val="BodyText"/>
      </w:pPr>
      <w:r>
        <w:t xml:space="preserve">Investors should listen for:</w:t>
      </w:r>
    </w:p>
    <w:p>
      <w:pPr>
        <w:pStyle w:val="Compact"/>
        <w:numPr>
          <w:ilvl w:val="0"/>
          <w:numId w:val="1009"/>
        </w:numPr>
      </w:pPr>
      <w:r>
        <w:t xml:space="preserve">Whether long-term redemptions are approaching an end</w:t>
      </w:r>
    </w:p>
    <w:p>
      <w:pPr>
        <w:pStyle w:val="Compact"/>
        <w:numPr>
          <w:ilvl w:val="0"/>
          <w:numId w:val="1009"/>
        </w:numPr>
      </w:pPr>
      <w:r>
        <w:t xml:space="preserve">Client retention and consultant activity</w:t>
      </w:r>
    </w:p>
    <w:p>
      <w:pPr>
        <w:pStyle w:val="Compact"/>
        <w:numPr>
          <w:ilvl w:val="0"/>
          <w:numId w:val="1009"/>
        </w:numPr>
      </w:pPr>
      <w:r>
        <w:t xml:space="preserve">Investment-team stability</w:t>
      </w:r>
    </w:p>
    <w:p>
      <w:pPr>
        <w:pStyle w:val="Compact"/>
        <w:numPr>
          <w:ilvl w:val="0"/>
          <w:numId w:val="1009"/>
        </w:numPr>
      </w:pPr>
      <w:r>
        <w:t xml:space="preserve">Legal, regulatory or settlement developments</w:t>
      </w:r>
    </w:p>
    <w:p>
      <w:pPr>
        <w:pStyle w:val="Compact"/>
        <w:numPr>
          <w:ilvl w:val="0"/>
          <w:numId w:val="1009"/>
        </w:numPr>
      </w:pPr>
      <w:r>
        <w:t xml:space="preserve">The revenue and expense run-rate after prior outflows</w:t>
      </w:r>
    </w:p>
    <w:p>
      <w:pPr>
        <w:pStyle w:val="FirstParagraph"/>
      </w:pPr>
      <w:r>
        <w:t xml:space="preserve">Even neutral flows would be meaningful because Western has been one of the largest drags on BEN’s organic growth and fee revenue.</w:t>
      </w:r>
    </w:p>
    <w:bookmarkEnd w:id="21"/>
    <w:bookmarkStart w:id="25" w:name="what-would-constitute-a-strong-report"/>
    <w:p>
      <w:pPr>
        <w:pStyle w:val="Heading2"/>
      </w:pPr>
      <w:r>
        <w:t xml:space="preserve">What would constitute a strong report?</w:t>
      </w:r>
    </w:p>
    <w:bookmarkStart w:id="22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0"/>
        </w:numPr>
      </w:pPr>
      <w:r>
        <w:t xml:space="preserve">Adjusted EPS at or above the high end of estimates—roughly</w:t>
      </w:r>
      <w:r>
        <w:t xml:space="preserve"> </w:t>
      </w:r>
      <w:r>
        <w:rPr>
          <w:b/>
          <w:bCs/>
        </w:rPr>
        <w:t xml:space="preserve">$0.69</w:t>
      </w:r>
    </w:p>
    <w:p>
      <w:pPr>
        <w:pStyle w:val="Compact"/>
        <w:numPr>
          <w:ilvl w:val="0"/>
          <w:numId w:val="1010"/>
        </w:numPr>
      </w:pPr>
      <w:r>
        <w:t xml:space="preserve">Effective fee rate at the upper end of guidance</w:t>
      </w:r>
    </w:p>
    <w:p>
      <w:pPr>
        <w:pStyle w:val="Compact"/>
        <w:numPr>
          <w:ilvl w:val="0"/>
          <w:numId w:val="1010"/>
        </w:numPr>
      </w:pPr>
      <w:r>
        <w:t xml:space="preserve">Adjusted margin demonstrates clear sequential operating leverage</w:t>
      </w:r>
    </w:p>
    <w:p>
      <w:pPr>
        <w:pStyle w:val="Compact"/>
        <w:numPr>
          <w:ilvl w:val="0"/>
          <w:numId w:val="1010"/>
        </w:numPr>
      </w:pPr>
      <w:r>
        <w:t xml:space="preserve">Strong private-markets fundraising and Lexington progress</w:t>
      </w:r>
    </w:p>
    <w:p>
      <w:pPr>
        <w:pStyle w:val="Compact"/>
        <w:numPr>
          <w:ilvl w:val="0"/>
          <w:numId w:val="1010"/>
        </w:numPr>
      </w:pPr>
      <w:r>
        <w:t xml:space="preserve">Broad-based ETF, Canvas, SMA and multi-asset inflows</w:t>
      </w:r>
    </w:p>
    <w:p>
      <w:pPr>
        <w:pStyle w:val="Compact"/>
        <w:numPr>
          <w:ilvl w:val="0"/>
          <w:numId w:val="1010"/>
        </w:numPr>
      </w:pPr>
      <w:r>
        <w:t xml:space="preserve">Western Asset flows stabilize</w:t>
      </w:r>
    </w:p>
    <w:p>
      <w:pPr>
        <w:pStyle w:val="Compact"/>
        <w:numPr>
          <w:ilvl w:val="0"/>
          <w:numId w:val="1010"/>
        </w:numPr>
      </w:pPr>
      <w:r>
        <w:t xml:space="preserve">Full-year margin outlook is raised or Q4 guidance improves</w:t>
      </w:r>
    </w:p>
    <w:bookmarkEnd w:id="22"/>
    <w:bookmarkStart w:id="23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1"/>
        </w:numPr>
      </w:pPr>
      <w:r>
        <w:t xml:space="preserve">Adjusted EPS around</w:t>
      </w:r>
      <w:r>
        <w:t xml:space="preserve"> </w:t>
      </w:r>
      <m:oMath>
        <m:r>
          <m:t>0.64</m:t>
        </m:r>
        <m:r>
          <m:rPr>
            <m:sty m:val="p"/>
          </m:rPr>
          <m:t>–</m:t>
        </m:r>
      </m:oMath>
      <w:r>
        <w:rPr>
          <w:b/>
          <w:bCs/>
        </w:rPr>
        <w:t xml:space="preserve">0.67</w:t>
      </w:r>
    </w:p>
    <w:p>
      <w:pPr>
        <w:pStyle w:val="Compact"/>
        <w:numPr>
          <w:ilvl w:val="0"/>
          <w:numId w:val="1011"/>
        </w:numPr>
      </w:pPr>
      <w:r>
        <w:t xml:space="preserve">Results broadly consistent with disclosed AUM and flows</w:t>
      </w:r>
    </w:p>
    <w:p>
      <w:pPr>
        <w:pStyle w:val="Compact"/>
        <w:numPr>
          <w:ilvl w:val="0"/>
          <w:numId w:val="1011"/>
        </w:numPr>
      </w:pPr>
      <w:r>
        <w:t xml:space="preserve">Some margin pressure from fundraising and compensation expenses</w:t>
      </w:r>
    </w:p>
    <w:p>
      <w:pPr>
        <w:pStyle w:val="Compact"/>
        <w:numPr>
          <w:ilvl w:val="0"/>
          <w:numId w:val="1011"/>
        </w:numPr>
      </w:pPr>
      <w:r>
        <w:t xml:space="preserve">Management reiterates the 27% full-year and high-29% Q4 margin targets</w:t>
      </w:r>
    </w:p>
    <w:p>
      <w:pPr>
        <w:pStyle w:val="Compact"/>
        <w:numPr>
          <w:ilvl w:val="0"/>
          <w:numId w:val="1011"/>
        </w:numPr>
      </w:pPr>
      <w:r>
        <w:t xml:space="preserve">Western Asset outflows remain manageable</w:t>
      </w:r>
    </w:p>
    <w:bookmarkEnd w:id="23"/>
    <w:bookmarkStart w:id="24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2"/>
        </w:numPr>
      </w:pPr>
      <w:r>
        <w:t xml:space="preserve">Adjusted EPS below approximately</w:t>
      </w:r>
      <w:r>
        <w:t xml:space="preserve"> </w:t>
      </w:r>
      <w:r>
        <w:rPr>
          <w:b/>
          <w:bCs/>
        </w:rPr>
        <w:t xml:space="preserve">$0.62</w:t>
      </w:r>
    </w:p>
    <w:p>
      <w:pPr>
        <w:pStyle w:val="Compact"/>
        <w:numPr>
          <w:ilvl w:val="0"/>
          <w:numId w:val="1012"/>
        </w:numPr>
      </w:pPr>
      <w:r>
        <w:t xml:space="preserve">Fee-rate realization disappoints despite higher AUM</w:t>
      </w:r>
    </w:p>
    <w:p>
      <w:pPr>
        <w:pStyle w:val="Compact"/>
        <w:numPr>
          <w:ilvl w:val="0"/>
          <w:numId w:val="1012"/>
        </w:numPr>
      </w:pPr>
      <w:r>
        <w:t xml:space="preserve">Expenses materially exceed guidance</w:t>
      </w:r>
    </w:p>
    <w:p>
      <w:pPr>
        <w:pStyle w:val="Compact"/>
        <w:numPr>
          <w:ilvl w:val="0"/>
          <w:numId w:val="1012"/>
        </w:numPr>
      </w:pPr>
      <w:r>
        <w:t xml:space="preserve">Private-market fundraising slows or fee-paying conversion is delayed</w:t>
      </w:r>
    </w:p>
    <w:p>
      <w:pPr>
        <w:pStyle w:val="Compact"/>
        <w:numPr>
          <w:ilvl w:val="0"/>
          <w:numId w:val="1012"/>
        </w:numPr>
      </w:pPr>
      <w:r>
        <w:t xml:space="preserve">Western Asset redemptions reaccelerate</w:t>
      </w:r>
    </w:p>
    <w:p>
      <w:pPr>
        <w:pStyle w:val="Compact"/>
        <w:numPr>
          <w:ilvl w:val="0"/>
          <w:numId w:val="1012"/>
        </w:numPr>
      </w:pPr>
      <w:r>
        <w:t xml:space="preserve">Management backs away from the Q4 or fiscal 2027 margin objectives</w:t>
      </w:r>
    </w:p>
    <w:bookmarkEnd w:id="24"/>
    <w:bookmarkEnd w:id="25"/>
    <w:bookmarkStart w:id="26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BEN enters the report with</w:t>
      </w:r>
      <w:r>
        <w:t xml:space="preserve"> </w:t>
      </w:r>
      <w:r>
        <w:rPr>
          <w:b/>
          <w:bCs/>
        </w:rPr>
        <w:t xml:space="preserve">strong known AUM, positive organic flows and improving Western Asset trends</w:t>
      </w:r>
      <w:r>
        <w:t xml:space="preserve">. That makes a major top-line disappointment less likely. The uncertainty is concentrated in fee mix, performance fees, compensation and fundraising-related expenses.</w:t>
      </w:r>
    </w:p>
    <w:p>
      <w:pPr>
        <w:pStyle w:val="BodyText"/>
      </w:pPr>
      <w:r>
        <w:t xml:space="preserve">The highest-value information will be: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Adjusted operating margin and the fiscal Q4 margin outlook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Fee-rate realization on $1.75 trillion of average AUM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Private-markets fundraising and fee-paying conversion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Western Asset stabilization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Flow momentum in ETFs, Canvas, SMAs and multi-asset</w:t>
      </w:r>
    </w:p>
    <w:p>
      <w:pPr>
        <w:pStyle w:val="FirstParagraph"/>
      </w:pPr>
      <w:r>
        <w:t xml:space="preserve">A modest EPS beat accompanied by unchanged guidance may not be enough after the stock’s strong run. A more meaningful positive catalyst would be evidence that BEN can turn its improving flow profile into</w:t>
      </w:r>
      <w:r>
        <w:t xml:space="preserve"> </w:t>
      </w:r>
      <w:r>
        <w:rPr>
          <w:b/>
          <w:bCs/>
        </w:rPr>
        <w:t xml:space="preserve">sustained organic growth and 30%+ adjusted margins</w:t>
      </w:r>
      <w:r>
        <w:t xml:space="preserve">.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news.franklinresources.com/news-center/press-releases/press-release-details/2026/Franklin-Resources-Inc--to-Announce-Third-Quarter-Results-on-July-31-2026/?utm_source=openai" TargetMode="External" /><Relationship Type="http://schemas.openxmlformats.org/officeDocument/2006/relationships/hyperlink" Id="rId12" Target="https://s201.q4cdn.com/562074409/files/doc_financials/2026/q2/Earnings-Press-Release-Q2-2026.pdf" TargetMode="External" /><Relationship Type="http://schemas.openxmlformats.org/officeDocument/2006/relationships/hyperlink" Id="rId10" Target="https://www.barchart.com/stocks/quotes/BEN/earnings-estimates" TargetMode="External" /><Relationship Type="http://schemas.openxmlformats.org/officeDocument/2006/relationships/hyperlink" Id="rId14" Target="https://www.businesswire.com/news/home/20260706948734/en/Franklin-Resources-Inc.-Announces-Preliminary-Month-End-Assets-Under-Management" TargetMode="External" /><Relationship Type="http://schemas.openxmlformats.org/officeDocument/2006/relationships/hyperlink" Id="rId18" Target="https://www.tipranks.com/stocks/ben/earnings/q2-2026-report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news.franklinresources.com/news-center/press-releases/press-release-details/2026/Franklin-Resources-Inc--to-Announce-Third-Quarter-Results-on-July-31-2026/?utm_source=openai" TargetMode="External" /><Relationship Type="http://schemas.openxmlformats.org/officeDocument/2006/relationships/hyperlink" Id="rId12" Target="https://s201.q4cdn.com/562074409/files/doc_financials/2026/q2/Earnings-Press-Release-Q2-2026.pdf" TargetMode="External" /><Relationship Type="http://schemas.openxmlformats.org/officeDocument/2006/relationships/hyperlink" Id="rId10" Target="https://www.barchart.com/stocks/quotes/BEN/earnings-estimates" TargetMode="External" /><Relationship Type="http://schemas.openxmlformats.org/officeDocument/2006/relationships/hyperlink" Id="rId14" Target="https://www.businesswire.com/news/home/20260706948734/en/Franklin-Resources-Inc.-Announces-Preliminary-Month-End-Assets-Under-Management" TargetMode="External" /><Relationship Type="http://schemas.openxmlformats.org/officeDocument/2006/relationships/hyperlink" Id="rId18" Target="https://www.tipranks.com/stocks/ben/earnings/q2-2026-report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2026-07-31T00:28:48Z</dcterms:created>
  <dcterms:modified xsi:type="dcterms:W3CDTF">2026-07-31T00:28:48Z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