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3bb718e2dfa950a092c376ed79aef7c2dff81f"/>
    <w:p>
      <w:pPr>
        <w:pStyle w:val="Heading1"/>
      </w:pPr>
      <w:r>
        <w:t xml:space="preserve">Franklin Resources (NYSE: BEN) — Fiscal 3Q26 Earnings Preview</w:t>
      </w:r>
    </w:p>
    <w:p>
      <w:pPr>
        <w:pStyle w:val="BlockText"/>
      </w:pPr>
      <w:r>
        <w:rPr>
          <w:b/>
          <w:bCs/>
        </w:rPr>
        <w:t xml:space="preserve">Timing note:</w:t>
      </w:r>
      <w:r>
        <w:t xml:space="preserve"> </w:t>
      </w:r>
      <w:r>
        <w:t xml:space="preserve">The earnings event is dated</w:t>
      </w:r>
      <w:r>
        <w:t xml:space="preserve"> </w:t>
      </w:r>
      <w:r>
        <w:rPr>
          <w:b/>
          <w:bCs/>
        </w:rPr>
        <w:t xml:space="preserve">Friday, July 31, 2026</w:t>
      </w:r>
      <w:r>
        <w:t xml:space="preserve">—which is</w:t>
      </w:r>
      <w:r>
        <w:t xml:space="preserve"> </w:t>
      </w:r>
      <w:r>
        <w:rPr>
          <w:b/>
          <w:bCs/>
        </w:rPr>
        <w:t xml:space="preserve">today</w:t>
      </w:r>
      <w:r>
        <w:t xml:space="preserve">, not tomorrow. This preview is therefore framed for the results/call expected today, covering the fiscal quarter ended</w:t>
      </w:r>
      <w:r>
        <w:t xml:space="preserve"> </w:t>
      </w:r>
      <w:r>
        <w:rPr>
          <w:b/>
          <w:bCs/>
        </w:rPr>
        <w:t xml:space="preserve">June 30, 2026</w:t>
      </w:r>
      <w:r>
        <w:t xml:space="preserve">.</w:t>
      </w:r>
    </w:p>
    <w:bookmarkStart w:id="9" w:name="investment-framing"/>
    <w:p>
      <w:pPr>
        <w:pStyle w:val="Heading2"/>
      </w:pPr>
      <w:r>
        <w:t xml:space="preserve">Investment framing</w:t>
      </w:r>
    </w:p>
    <w:p>
      <w:pPr>
        <w:pStyle w:val="FirstParagraph"/>
      </w:pPr>
      <w:r>
        <w:t xml:space="preserve">BEN enters fiscal 3Q26 with a markedly improved operating and flow story. The central question is no longer simply whether Franklin Templeton can stem legacy outflows; it is whether it can</w:t>
      </w:r>
      <w:r>
        <w:t xml:space="preserve"> </w:t>
      </w:r>
      <w:r>
        <w:rPr>
          <w:b/>
          <w:bCs/>
        </w:rPr>
        <w:t xml:space="preserve">sustain broad organic growth while converting higher AUM and a more favorable product mix into durable margin expansion</w:t>
      </w:r>
      <w:r>
        <w:t xml:space="preserve">.</w:t>
      </w:r>
    </w:p>
    <w:p>
      <w:pPr>
        <w:pStyle w:val="BodyText"/>
      </w:pPr>
      <w:r>
        <w:t xml:space="preserve">The last reported quarter was strong: fiscal 2Q26 delivered</w:t>
      </w:r>
      <w:r>
        <w:t xml:space="preserve"> </w:t>
      </w:r>
      <m:oMath>
        <m:r>
          <m:t>16.9</m:t>
        </m:r>
        <m:r>
          <m:t>b</m:t>
        </m:r>
        <m:r>
          <m:t>i</m:t>
        </m:r>
        <m:r>
          <m:t>l</m:t>
        </m:r>
        <m:r>
          <m:t>l</m:t>
        </m:r>
        <m:r>
          <m:t>i</m:t>
        </m:r>
        <m:r>
          <m:t>o</m:t>
        </m:r>
        <m:r>
          <m:t>n</m:t>
        </m:r>
        <m:r>
          <m:t>o</m:t>
        </m:r>
        <m:r>
          <m:t>f</m:t>
        </m:r>
        <m:r>
          <m:t>l</m:t>
        </m:r>
        <m:r>
          <m:t>o</m:t>
        </m:r>
        <m:r>
          <m:t>n</m:t>
        </m:r>
        <m:r>
          <m:t>g</m:t>
        </m:r>
        <m:r>
          <m:rPr>
            <m:sty m:val="p"/>
          </m:rPr>
          <m:t>−</m:t>
        </m:r>
        <m:r>
          <m:t>t</m:t>
        </m:r>
        <m:r>
          <m:t>e</m:t>
        </m:r>
        <m:r>
          <m:t>r</m:t>
        </m:r>
        <m:r>
          <m:t>m</m:t>
        </m:r>
        <m:r>
          <m:t>n</m:t>
        </m:r>
        <m:r>
          <m:t>e</m:t>
        </m:r>
        <m:r>
          <m:t>t</m:t>
        </m:r>
        <m:r>
          <m:t>i</m:t>
        </m:r>
        <m:r>
          <m:t>n</m:t>
        </m:r>
        <m:r>
          <m:t>f</m:t>
        </m:r>
        <m:r>
          <m:t>l</m:t>
        </m:r>
        <m:r>
          <m:t>o</m:t>
        </m:r>
        <m:r>
          <m:t>w</m:t>
        </m:r>
        <m:r>
          <m:t>s</m:t>
        </m:r>
        <m:r>
          <m:rPr>
            <m:sty m:val="p"/>
          </m:rPr>
          <m:t>*</m:t>
        </m:r>
        <m:r>
          <m:rPr>
            <m:sty m:val="p"/>
          </m:rPr>
          <m:t>*</m:t>
        </m:r>
        <m:r>
          <m:rPr>
            <m:sty m:val="p"/>
          </m:rPr>
          <m:t>,</m:t>
        </m:r>
        <m:r>
          <m:rPr>
            <m:sty m:val="p"/>
          </m:rPr>
          <m:t>*</m:t>
        </m:r>
        <m:r>
          <m:rPr>
            <m:sty m:val="p"/>
          </m:rPr>
          <m:t>*</m:t>
        </m:r>
      </m:oMath>
      <w:r>
        <w:rPr>
          <w:b/>
          <w:bCs/>
        </w:rPr>
        <w:t xml:space="preserve">0.71 adjusted EPS</w:t>
      </w:r>
      <w:r>
        <w:t xml:space="preserve">, and a</w:t>
      </w:r>
      <w:r>
        <w:t xml:space="preserve"> </w:t>
      </w:r>
      <w:r>
        <w:rPr>
          <w:b/>
          <w:bCs/>
        </w:rPr>
        <w:t xml:space="preserve">27.1% adjusted operating margin</w:t>
      </w:r>
      <w:r>
        <w:t xml:space="preserve">. Importantly, flows were positive in every sales region and were led by alternatives, multi-asset, ETFs, retail SMAs, and Canvas tax-managed/direct-indexing solutions. The June quarter also appears to have had a favorable market backdrop: BEN stock rose about</w:t>
      </w:r>
      <w:r>
        <w:t xml:space="preserve"> </w:t>
      </w:r>
      <w:r>
        <w:rPr>
          <w:b/>
          <w:bCs/>
        </w:rPr>
        <w:t xml:space="preserve">41%</w:t>
      </w:r>
      <w:r>
        <w:t xml:space="preserve"> </w:t>
      </w:r>
      <w:r>
        <w:t xml:space="preserve">from March 31 through June 30, versus roughly</w:t>
      </w:r>
      <w:r>
        <w:t xml:space="preserve"> </w:t>
      </w:r>
      <w:r>
        <w:rPr>
          <w:b/>
          <w:bCs/>
        </w:rPr>
        <w:t xml:space="preserve">15%</w:t>
      </w:r>
      <w:r>
        <w:t xml:space="preserve"> </w:t>
      </w:r>
      <w:r>
        <w:t xml:space="preserve">for the S&amp;P 500 ETF, suggesting investor expectations have increased materially since the April report.</w:t>
      </w:r>
    </w:p>
    <w:bookmarkEnd w:id="9"/>
    <w:bookmarkStart w:id="14" w:name="what-matters-most-this-quarter"/>
    <w:p>
      <w:pPr>
        <w:pStyle w:val="Heading2"/>
      </w:pPr>
      <w:r>
        <w:t xml:space="preserve">What matters most this quarter</w:t>
      </w:r>
    </w:p>
    <w:bookmarkStart w:id="10" w:name="X69ce316838b51e1044ba283feab8be2fb3f84f3"/>
    <w:p>
      <w:pPr>
        <w:pStyle w:val="Heading3"/>
      </w:pPr>
      <w:r>
        <w:t xml:space="preserve">1. Long-term net flows: confirmation that 2Q was not an outlier</w:t>
      </w:r>
    </w:p>
    <w:p>
      <w:pPr>
        <w:pStyle w:val="FirstParagraph"/>
      </w:pPr>
      <w:r>
        <w:t xml:space="preserve">This is the highest-priority metric. In fiscal 2Q, long-term net flows were</w:t>
      </w:r>
      <w:r>
        <w:t xml:space="preserve"> </w:t>
      </w:r>
      <w:r>
        <w:rPr>
          <w:b/>
          <w:bCs/>
        </w:rPr>
        <w:t xml:space="preserve">+</w:t>
      </w:r>
      <m:oMath>
        <m:r>
          <m:t>16.9</m:t>
        </m:r>
        <m:r>
          <m:t>b</m:t>
        </m:r>
        <m:r>
          <m:t>i</m:t>
        </m:r>
        <m:r>
          <m:t>l</m:t>
        </m:r>
        <m:r>
          <m:t>l</m:t>
        </m:r>
        <m:r>
          <m:t>i</m:t>
        </m:r>
        <m:r>
          <m:t>o</m:t>
        </m:r>
        <m:r>
          <m:t>n</m:t>
        </m:r>
        <m:r>
          <m:rPr>
            <m:sty m:val="p"/>
          </m:rPr>
          <m:t>*</m:t>
        </m:r>
        <m:r>
          <m:rPr>
            <m:sty m:val="p"/>
          </m:rPr>
          <m:t>*</m:t>
        </m:r>
        <m:r>
          <m:rPr>
            <m:sty m:val="p"/>
          </m:rPr>
          <m:t>,</m:t>
        </m:r>
        <m:r>
          <m:t>f</m:t>
        </m:r>
        <m:r>
          <m:t>o</m:t>
        </m:r>
        <m:r>
          <m:t>l</m:t>
        </m:r>
        <m:r>
          <m:t>l</m:t>
        </m:r>
        <m:r>
          <m:t>o</m:t>
        </m:r>
        <m:r>
          <m:t>w</m:t>
        </m:r>
        <m:r>
          <m:t>i</m:t>
        </m:r>
        <m:r>
          <m:t>n</m:t>
        </m:r>
        <m:r>
          <m:t>g</m:t>
        </m:r>
        <m:r>
          <m:rPr>
            <m:sty m:val="p"/>
          </m:rPr>
          <m:t>*</m:t>
        </m:r>
        <m:r>
          <m:rPr>
            <m:sty m:val="p"/>
          </m:rPr>
          <m:t>*</m:t>
        </m:r>
        <m:r>
          <m:rPr>
            <m:sty m:val="p"/>
          </m:rPr>
          <m:t>+</m:t>
        </m:r>
      </m:oMath>
      <w:r>
        <w:rPr>
          <w:b/>
          <w:bCs/>
        </w:rPr>
        <w:t xml:space="preserve">28.0 billion</w:t>
      </w:r>
      <w:r>
        <w:t xml:space="preserve"> </w:t>
      </w:r>
      <w:r>
        <w:t xml:space="preserve">in fiscal 1Q. That produced</w:t>
      </w:r>
      <w:r>
        <w:t xml:space="preserve"> </w:t>
      </w:r>
      <w:r>
        <w:rPr>
          <w:b/>
          <w:bCs/>
        </w:rPr>
        <w:t xml:space="preserve">+</w:t>
      </w:r>
      <m:oMath>
        <m:r>
          <m:t>44.9</m:t>
        </m:r>
        <m:r>
          <m:t>b</m:t>
        </m:r>
        <m:r>
          <m:t>i</m:t>
        </m:r>
        <m:r>
          <m:t>l</m:t>
        </m:r>
        <m:r>
          <m:t>l</m:t>
        </m:r>
        <m:r>
          <m:t>i</m:t>
        </m:r>
        <m:r>
          <m:t>o</m:t>
        </m:r>
        <m:r>
          <m:t>n</m:t>
        </m:r>
        <m:r>
          <m:rPr>
            <m:sty m:val="p"/>
          </m:rPr>
          <m:t>*</m:t>
        </m:r>
        <m:r>
          <m:rPr>
            <m:sty m:val="p"/>
          </m:rPr>
          <m:t>*</m:t>
        </m:r>
        <m:r>
          <m:t>o</m:t>
        </m:r>
        <m:r>
          <m:t>f</m:t>
        </m:r>
        <m:r>
          <m:t>l</m:t>
        </m:r>
        <m:r>
          <m:t>o</m:t>
        </m:r>
        <m:r>
          <m:t>n</m:t>
        </m:r>
        <m:r>
          <m:t>g</m:t>
        </m:r>
        <m:r>
          <m:rPr>
            <m:sty m:val="p"/>
          </m:rPr>
          <m:t>−</m:t>
        </m:r>
        <m:r>
          <m:t>t</m:t>
        </m:r>
        <m:r>
          <m:t>e</m:t>
        </m:r>
        <m:r>
          <m:t>r</m:t>
        </m:r>
        <m:r>
          <m:t>m</m:t>
        </m:r>
        <m:r>
          <m:t>n</m:t>
        </m:r>
        <m:r>
          <m:t>e</m:t>
        </m:r>
        <m:r>
          <m:t>t</m:t>
        </m:r>
        <m:r>
          <m:t>f</m:t>
        </m:r>
        <m:r>
          <m:t>l</m:t>
        </m:r>
        <m:r>
          <m:t>o</m:t>
        </m:r>
        <m:r>
          <m:t>w</m:t>
        </m:r>
        <m:r>
          <m:t>s</m:t>
        </m:r>
        <m:r>
          <m:t>i</m:t>
        </m:r>
        <m:r>
          <m:t>n</m:t>
        </m:r>
        <m:r>
          <m:t>t</m:t>
        </m:r>
        <m:r>
          <m:t>h</m:t>
        </m:r>
        <m:r>
          <m:t>e</m:t>
        </m:r>
        <m:r>
          <m:t>f</m:t>
        </m:r>
        <m:r>
          <m:t>i</m:t>
        </m:r>
        <m:r>
          <m:t>r</m:t>
        </m:r>
        <m:r>
          <m:t>s</m:t>
        </m:r>
        <m:r>
          <m:t>t</m:t>
        </m:r>
        <m:r>
          <m:t>h</m:t>
        </m:r>
        <m:r>
          <m:t>a</m:t>
        </m:r>
        <m:r>
          <m:t>l</m:t>
        </m:r>
        <m:r>
          <m:t>f</m:t>
        </m:r>
        <m:r>
          <m:rPr>
            <m:sty m:val="p"/>
          </m:rPr>
          <m:t>,</m:t>
        </m:r>
        <m:r>
          <m:t>v</m:t>
        </m:r>
        <m:r>
          <m:t>e</m:t>
        </m:r>
        <m:r>
          <m:t>r</m:t>
        </m:r>
        <m:r>
          <m:t>s</m:t>
        </m:r>
        <m:r>
          <m:t>u</m:t>
        </m:r>
        <m:r>
          <m:t>s</m:t>
        </m:r>
        <m:r>
          <m:rPr>
            <m:sty m:val="p"/>
          </m:rPr>
          <m:t>*</m:t>
        </m:r>
        <m:r>
          <m:rPr>
            <m:sty m:val="p"/>
          </m:rPr>
          <m:t>*</m:t>
        </m:r>
        <m:r>
          <m:rPr>
            <m:sty m:val="p"/>
          </m:rPr>
          <m:t>−</m:t>
        </m:r>
      </m:oMath>
      <w:r>
        <w:rPr>
          <w:b/>
          <w:bCs/>
        </w:rPr>
        <w:t xml:space="preserve">76.2 billion</w:t>
      </w:r>
      <w:r>
        <w:t xml:space="preserve"> </w:t>
      </w:r>
      <w:r>
        <w:t xml:space="preserve">in the comparable prior-year period.</w:t>
      </w:r>
    </w:p>
    <w:p>
      <w:pPr>
        <w:pStyle w:val="BodyText"/>
      </w:pPr>
      <w:r>
        <w:t xml:space="preserve">Investors should look for evidence that positive flows remain broad-based rather than dependent on a small number of institutional mandates or reinvested distributions: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Key flow franchise</w:t>
            </w:r>
          </w:p>
        </w:tc>
        <w:tc>
          <w:tcPr/>
          <w:p>
            <w:pPr>
              <w:pStyle w:val="Compact"/>
              <w:jc w:val="right"/>
            </w:pPr>
            <w:r>
              <w:t xml:space="preserve">Fiscal 2Q26 evidence</w:t>
            </w:r>
          </w:p>
        </w:tc>
        <w:tc>
          <w:tcPr/>
          <w:p>
            <w:pPr>
              <w:pStyle w:val="Compact"/>
            </w:pPr>
            <w:r>
              <w:t xml:space="preserve">What to watch in 3Q</w:t>
            </w:r>
          </w:p>
        </w:tc>
      </w:tr>
      <w:tr>
        <w:tc>
          <w:tcPr/>
          <w:p>
            <w:pPr>
              <w:pStyle w:val="Compact"/>
            </w:pPr>
            <w:r>
              <w:rPr>
                <w:b/>
                <w:bCs/>
              </w:rPr>
              <w:t xml:space="preserve">Alternatives</w:t>
            </w:r>
          </w:p>
        </w:tc>
        <w:tc>
          <w:tcPr/>
          <w:p>
            <w:pPr>
              <w:pStyle w:val="Compact"/>
              <w:jc w:val="right"/>
            </w:pPr>
            <w:r>
              <w:rPr>
                <w:b/>
                <w:bCs/>
              </w:rPr>
              <w:t xml:space="preserve">+$12.4B</w:t>
            </w:r>
            <w:r>
              <w:t xml:space="preserve"> </w:t>
            </w:r>
            <w:r>
              <w:t xml:space="preserve">net flows; $14.3B fundraising</w:t>
            </w:r>
          </w:p>
        </w:tc>
        <w:tc>
          <w:tcPr/>
          <w:p>
            <w:pPr>
              <w:pStyle w:val="Compact"/>
            </w:pPr>
            <w:r>
              <w:t xml:space="preserve">Continued fundraising across private credit, secondaries, real estate, and evergreen funds</w:t>
            </w:r>
          </w:p>
        </w:tc>
      </w:tr>
      <w:tr>
        <w:tc>
          <w:tcPr/>
          <w:p>
            <w:pPr>
              <w:pStyle w:val="Compact"/>
            </w:pPr>
            <w:r>
              <w:rPr>
                <w:b/>
                <w:bCs/>
              </w:rPr>
              <w:t xml:space="preserve">Multi-asset</w:t>
            </w:r>
          </w:p>
        </w:tc>
        <w:tc>
          <w:tcPr/>
          <w:p>
            <w:pPr>
              <w:pStyle w:val="Compact"/>
              <w:jc w:val="right"/>
            </w:pPr>
            <w:r>
              <w:rPr>
                <w:b/>
                <w:bCs/>
              </w:rPr>
              <w:t xml:space="preserve">+$9.5B</w:t>
            </w:r>
            <w:r>
              <w:t xml:space="preserve"> </w:t>
            </w:r>
            <w:r>
              <w:t xml:space="preserve">net flows; 19th straight positive quarter</w:t>
            </w:r>
          </w:p>
        </w:tc>
        <w:tc>
          <w:tcPr/>
          <w:p>
            <w:pPr>
              <w:pStyle w:val="Compact"/>
            </w:pPr>
            <w:r>
              <w:t xml:space="preserve">Continuation of solution-oriented institutional/retail demand</w:t>
            </w:r>
          </w:p>
        </w:tc>
      </w:tr>
      <w:tr>
        <w:tc>
          <w:tcPr/>
          <w:p>
            <w:pPr>
              <w:pStyle w:val="Compact"/>
            </w:pPr>
            <w:r>
              <w:rPr>
                <w:b/>
                <w:bCs/>
              </w:rPr>
              <w:t xml:space="preserve">ETFs</w:t>
            </w:r>
          </w:p>
        </w:tc>
        <w:tc>
          <w:tcPr/>
          <w:p>
            <w:pPr>
              <w:pStyle w:val="Compact"/>
              <w:jc w:val="right"/>
            </w:pPr>
            <w:r>
              <w:rPr>
                <w:b/>
                <w:bCs/>
              </w:rPr>
              <w:t xml:space="preserve">+$4.5B</w:t>
            </w:r>
            <w:r>
              <w:t xml:space="preserve"> </w:t>
            </w:r>
            <w:r>
              <w:t xml:space="preserve">net flows; 18th straight positive quarter</w:t>
            </w:r>
          </w:p>
        </w:tc>
        <w:tc>
          <w:tcPr/>
          <w:p>
            <w:pPr>
              <w:pStyle w:val="Compact"/>
            </w:pPr>
            <w:r>
              <w:t xml:space="preserve">Active ETF and muni-ETF conversion momentum</w:t>
            </w:r>
          </w:p>
        </w:tc>
      </w:tr>
      <w:tr>
        <w:tc>
          <w:tcPr/>
          <w:p>
            <w:pPr>
              <w:pStyle w:val="Compact"/>
            </w:pPr>
            <w:r>
              <w:rPr>
                <w:b/>
                <w:bCs/>
              </w:rPr>
              <w:t xml:space="preserve">Canvas / tax-managed SMA</w:t>
            </w:r>
          </w:p>
        </w:tc>
        <w:tc>
          <w:tcPr/>
          <w:p>
            <w:pPr>
              <w:pStyle w:val="Compact"/>
              <w:jc w:val="right"/>
            </w:pPr>
            <w:r>
              <w:rPr>
                <w:b/>
                <w:bCs/>
              </w:rPr>
              <w:t xml:space="preserve">+$5.3B</w:t>
            </w:r>
            <w:r>
              <w:t xml:space="preserve"> </w:t>
            </w:r>
            <w:r>
              <w:t xml:space="preserve">flows; $22.9B AUM</w:t>
            </w:r>
          </w:p>
        </w:tc>
        <w:tc>
          <w:tcPr/>
          <w:p>
            <w:pPr>
              <w:pStyle w:val="Compact"/>
            </w:pPr>
            <w:r>
              <w:t xml:space="preserve">Whether rapid adoption continues amid competitive direct-indexing offerings</w:t>
            </w:r>
          </w:p>
        </w:tc>
      </w:tr>
      <w:tr>
        <w:tc>
          <w:tcPr/>
          <w:p>
            <w:pPr>
              <w:pStyle w:val="Compact"/>
            </w:pPr>
            <w:r>
              <w:rPr>
                <w:b/>
                <w:bCs/>
              </w:rPr>
              <w:t xml:space="preserve">Fixed income ex-Western</w:t>
            </w:r>
          </w:p>
        </w:tc>
        <w:tc>
          <w:tcPr/>
          <w:p>
            <w:pPr>
              <w:pStyle w:val="Compact"/>
              <w:jc w:val="right"/>
            </w:pPr>
            <w:r>
              <w:rPr>
                <w:b/>
                <w:bCs/>
              </w:rPr>
              <w:t xml:space="preserve">+$3.6B</w:t>
            </w:r>
            <w:r>
              <w:t xml:space="preserve"> </w:t>
            </w:r>
            <w:r>
              <w:t xml:space="preserve">net flows</w:t>
            </w:r>
          </w:p>
        </w:tc>
        <w:tc>
          <w:tcPr/>
          <w:p>
            <w:pPr>
              <w:pStyle w:val="Compact"/>
            </w:pPr>
            <w:r>
              <w:t xml:space="preserve">Whether positive ex-WAM trend holds and WAM redemptions keep moderating</w:t>
            </w:r>
          </w:p>
        </w:tc>
      </w:tr>
      <w:tr>
        <w:tc>
          <w:tcPr/>
          <w:p>
            <w:pPr>
              <w:pStyle w:val="Compact"/>
            </w:pPr>
            <w:r>
              <w:rPr>
                <w:b/>
                <w:bCs/>
              </w:rPr>
              <w:t xml:space="preserve">Equities</w:t>
            </w:r>
          </w:p>
        </w:tc>
        <w:tc>
          <w:tcPr/>
          <w:p>
            <w:pPr>
              <w:pStyle w:val="Compact"/>
              <w:jc w:val="right"/>
            </w:pPr>
            <w:r>
              <w:rPr>
                <w:b/>
                <w:bCs/>
              </w:rPr>
              <w:t xml:space="preserve">-$4.7B</w:t>
            </w:r>
            <w:r>
              <w:t xml:space="preserve"> </w:t>
            </w:r>
            <w:r>
              <w:t xml:space="preserve">net flows</w:t>
            </w:r>
          </w:p>
        </w:tc>
        <w:tc>
          <w:tcPr/>
          <w:p>
            <w:pPr>
              <w:pStyle w:val="Compact"/>
            </w:pPr>
            <w:r>
              <w:t xml:space="preserve">Stabilization would be incremental upside; ongoing outflows remain the weak spot</w:t>
            </w:r>
          </w:p>
        </w:tc>
      </w:tr>
    </w:tbl>
    <w:p>
      <w:pPr>
        <w:pStyle w:val="BodyText"/>
      </w:pPr>
      <w:r>
        <w:t xml:space="preserve">A positive-flow quarter would validate management’s contention that its multi-boutique, public-and-private-markets model is gaining traction. A reversion to net outflows—especially if alternatives or multi-asset slow—would challenge the rerating narrative.</w:t>
      </w:r>
    </w:p>
    <w:bookmarkEnd w:id="10"/>
    <w:bookmarkStart w:id="11" w:name="X5631d8a843bc77be5a6f67cc65f15fdf0aaacd4"/>
    <w:p>
      <w:pPr>
        <w:pStyle w:val="Heading3"/>
      </w:pPr>
      <w:r>
        <w:t xml:space="preserve">2. Alternatives fundraising and Lexington are the strategic swing factors</w:t>
      </w:r>
    </w:p>
    <w:p>
      <w:pPr>
        <w:pStyle w:val="FirstParagraph"/>
      </w:pPr>
      <w:r>
        <w:t xml:space="preserve">Alternatives represented</w:t>
      </w:r>
      <w:r>
        <w:t xml:space="preserve"> </w:t>
      </w:r>
      <m:oMath>
        <m:r>
          <m:t>282.8</m:t>
        </m:r>
        <m:r>
          <m:t>b</m:t>
        </m:r>
        <m:r>
          <m:t>i</m:t>
        </m:r>
        <m:r>
          <m:t>l</m:t>
        </m:r>
        <m:r>
          <m:t>l</m:t>
        </m:r>
        <m:r>
          <m:t>i</m:t>
        </m:r>
        <m:r>
          <m:t>o</m:t>
        </m:r>
        <m:r>
          <m:t>n</m:t>
        </m:r>
        <m:r>
          <m:rPr>
            <m:sty m:val="p"/>
          </m:rPr>
          <m:t>*</m:t>
        </m:r>
        <m:r>
          <m:rPr>
            <m:sty m:val="p"/>
          </m:rPr>
          <m:t>*</m:t>
        </m:r>
        <m:r>
          <m:t>o</m:t>
        </m:r>
        <m:r>
          <m:t>f</m:t>
        </m:r>
        <m:r>
          <m:t>M</m:t>
        </m:r>
        <m:r>
          <m:t>a</m:t>
        </m:r>
        <m:r>
          <m:t>r</m:t>
        </m:r>
        <m:r>
          <m:t>c</m:t>
        </m:r>
        <m:r>
          <m:t>h</m:t>
        </m:r>
        <m:r>
          <m:rPr>
            <m:sty m:val="p"/>
          </m:rPr>
          <m:t>−</m:t>
        </m:r>
        <m:r>
          <m:t>e</m:t>
        </m:r>
        <m:r>
          <m:t>n</m:t>
        </m:r>
        <m:r>
          <m:t>d</m:t>
        </m:r>
        <m:r>
          <m:t>A</m:t>
        </m:r>
        <m:r>
          <m:t>U</m:t>
        </m:r>
        <m:r>
          <m:t>M</m:t>
        </m:r>
        <m:r>
          <m:t>a</m:t>
        </m:r>
        <m:r>
          <m:t>n</m:t>
        </m:r>
        <m:r>
          <m:t>d</m:t>
        </m:r>
        <m:r>
          <m:t>w</m:t>
        </m:r>
        <m:r>
          <m:t>e</m:t>
        </m:r>
        <m:r>
          <m:t>r</m:t>
        </m:r>
        <m:r>
          <m:t>e</m:t>
        </m:r>
        <m:r>
          <m:t>o</m:t>
        </m:r>
        <m:r>
          <m:t>n</m:t>
        </m:r>
        <m:r>
          <m:t>e</m:t>
        </m:r>
        <m:r>
          <m:t>o</m:t>
        </m:r>
        <m:r>
          <m:t>f</m:t>
        </m:r>
        <m:r>
          <m:t>t</m:t>
        </m:r>
        <m:r>
          <m:t>h</m:t>
        </m:r>
        <m:r>
          <m:t>e</m:t>
        </m:r>
        <m:r>
          <m:t>c</m:t>
        </m:r>
        <m:r>
          <m:t>l</m:t>
        </m:r>
        <m:r>
          <m:t>e</m:t>
        </m:r>
        <m:r>
          <m:t>a</m:t>
        </m:r>
        <m:r>
          <m:t>r</m:t>
        </m:r>
        <m:r>
          <m:t>e</m:t>
        </m:r>
        <m:r>
          <m:t>s</m:t>
        </m:r>
        <m:r>
          <m:t>t</m:t>
        </m:r>
        <m:r>
          <m:t>d</m:t>
        </m:r>
        <m:r>
          <m:t>r</m:t>
        </m:r>
        <m:r>
          <m:t>i</m:t>
        </m:r>
        <m:r>
          <m:t>v</m:t>
        </m:r>
        <m:r>
          <m:t>e</m:t>
        </m:r>
        <m:r>
          <m:t>r</m:t>
        </m:r>
        <m:r>
          <m:t>s</m:t>
        </m:r>
        <m:r>
          <m:t>o</m:t>
        </m:r>
        <m:r>
          <m:t>f</m:t>
        </m:r>
        <m:r>
          <m:t>g</m:t>
        </m:r>
        <m:r>
          <m:t>r</m:t>
        </m:r>
        <m:r>
          <m:t>o</m:t>
        </m:r>
        <m:r>
          <m:t>w</m:t>
        </m:r>
        <m:r>
          <m:t>t</m:t>
        </m:r>
        <m:r>
          <m:t>h</m:t>
        </m:r>
        <m:r>
          <m:rPr>
            <m:sty m:val="p"/>
          </m:rPr>
          <m:t>.</m:t>
        </m:r>
        <m:r>
          <m:t>M</m:t>
        </m:r>
        <m:r>
          <m:t>a</m:t>
        </m:r>
        <m:r>
          <m:t>n</m:t>
        </m:r>
        <m:r>
          <m:t>a</m:t>
        </m:r>
        <m:r>
          <m:t>g</m:t>
        </m:r>
        <m:r>
          <m:t>e</m:t>
        </m:r>
        <m:r>
          <m:t>m</m:t>
        </m:r>
        <m:r>
          <m:t>e</m:t>
        </m:r>
        <m:r>
          <m:t>n</m:t>
        </m:r>
        <m:r>
          <m:t>t</m:t>
        </m:r>
        <m:r>
          <m:t>s</m:t>
        </m:r>
        <m:r>
          <m:t>a</m:t>
        </m:r>
        <m:r>
          <m:t>i</m:t>
        </m:r>
        <m:r>
          <m:t>d</m:t>
        </m:r>
        <m:r>
          <m:t>f</m:t>
        </m:r>
        <m:r>
          <m:t>i</m:t>
        </m:r>
        <m:r>
          <m:t>s</m:t>
        </m:r>
        <m:r>
          <m:t>c</m:t>
        </m:r>
        <m:r>
          <m:t>a</m:t>
        </m:r>
        <m:r>
          <m:t>l</m:t>
        </m:r>
        <m:r>
          <m:rPr>
            <m:sty m:val="p"/>
          </m:rPr>
          <m:t>−</m:t>
        </m:r>
        <m:r>
          <m:t>y</m:t>
        </m:r>
        <m:r>
          <m:t>e</m:t>
        </m:r>
        <m:r>
          <m:t>a</m:t>
        </m:r>
        <m:r>
          <m:t>r</m:t>
        </m:r>
        <m:r>
          <m:rPr>
            <m:sty m:val="p"/>
          </m:rPr>
          <m:t>−</m:t>
        </m:r>
        <m:r>
          <m:t>t</m:t>
        </m:r>
        <m:r>
          <m:t>o</m:t>
        </m:r>
        <m:r>
          <m:rPr>
            <m:sty m:val="p"/>
          </m:rPr>
          <m:t>−</m:t>
        </m:r>
        <m:r>
          <m:t>d</m:t>
        </m:r>
        <m:r>
          <m:t>a</m:t>
        </m:r>
        <m:r>
          <m:t>t</m:t>
        </m:r>
        <m:r>
          <m:t>e</m:t>
        </m:r>
        <m:r>
          <m:t>p</m:t>
        </m:r>
        <m:r>
          <m:t>r</m:t>
        </m:r>
        <m:r>
          <m:t>i</m:t>
        </m:r>
        <m:r>
          <m:t>v</m:t>
        </m:r>
        <m:r>
          <m:t>a</m:t>
        </m:r>
        <m:r>
          <m:t>t</m:t>
        </m:r>
        <m:r>
          <m:t>e</m:t>
        </m:r>
        <m:r>
          <m:rPr>
            <m:sty m:val="p"/>
          </m:rPr>
          <m:t>−</m:t>
        </m:r>
        <m:r>
          <m:t>m</m:t>
        </m:r>
        <m:r>
          <m:t>a</m:t>
        </m:r>
        <m:r>
          <m:t>r</m:t>
        </m:r>
        <m:r>
          <m:t>k</m:t>
        </m:r>
        <m:r>
          <m:t>e</m:t>
        </m:r>
        <m:r>
          <m:t>t</m:t>
        </m:r>
        <m:r>
          <m:t>f</m:t>
        </m:r>
        <m:r>
          <m:t>u</m:t>
        </m:r>
        <m:r>
          <m:t>n</m:t>
        </m:r>
        <m:r>
          <m:t>d</m:t>
        </m:r>
        <m:r>
          <m:t>r</m:t>
        </m:r>
        <m:r>
          <m:t>a</m:t>
        </m:r>
        <m:r>
          <m:t>i</m:t>
        </m:r>
        <m:r>
          <m:t>s</m:t>
        </m:r>
        <m:r>
          <m:t>i</m:t>
        </m:r>
        <m:r>
          <m:t>n</m:t>
        </m:r>
        <m:r>
          <m:t>g</m:t>
        </m:r>
        <m:r>
          <m:t>h</m:t>
        </m:r>
        <m:r>
          <m:t>a</m:t>
        </m:r>
        <m:r>
          <m:t>d</m:t>
        </m:r>
        <m:r>
          <m:t>r</m:t>
        </m:r>
        <m:r>
          <m:t>e</m:t>
        </m:r>
        <m:r>
          <m:t>a</m:t>
        </m:r>
        <m:r>
          <m:t>c</m:t>
        </m:r>
        <m:r>
          <m:t>h</m:t>
        </m:r>
        <m:r>
          <m:t>e</m:t>
        </m:r>
        <m:r>
          <m:t>d</m:t>
        </m:r>
        <m:r>
          <m:rPr>
            <m:sty m:val="p"/>
          </m:rPr>
          <m:t>*</m:t>
        </m:r>
        <m:r>
          <m:rPr>
            <m:sty m:val="p"/>
          </m:rPr>
          <m:t>*</m:t>
        </m:r>
      </m:oMath>
      <w:r>
        <w:rPr>
          <w:b/>
          <w:bCs/>
        </w:rPr>
        <w:t xml:space="preserve">22.7 billion</w:t>
      </w:r>
      <w:r>
        <w:t xml:space="preserve"> </w:t>
      </w:r>
      <w:r>
        <w:t xml:space="preserve">by fiscal 2Q and indicated it expected to exceed its already-raised</w:t>
      </w:r>
      <w:r>
        <w:t xml:space="preserve"> </w:t>
      </w:r>
      <w:r>
        <w:rPr>
          <w:b/>
          <w:bCs/>
        </w:rPr>
        <w:t xml:space="preserve">$25–30 billion</w:t>
      </w:r>
      <w:r>
        <w:t xml:space="preserve"> </w:t>
      </w:r>
      <w:r>
        <w:t xml:space="preserve">annual target.</w:t>
      </w:r>
    </w:p>
    <w:p>
      <w:pPr>
        <w:pStyle w:val="BodyText"/>
      </w:pPr>
      <w:r>
        <w:t xml:space="preserve">The call should provide an update on:</w:t>
      </w:r>
    </w:p>
    <w:p>
      <w:pPr>
        <w:pStyle w:val="Compact"/>
        <w:numPr>
          <w:ilvl w:val="0"/>
          <w:numId w:val="1001"/>
        </w:numPr>
      </w:pPr>
      <w:r>
        <w:rPr>
          <w:b/>
          <w:bCs/>
        </w:rPr>
        <w:t xml:space="preserve">Lexington’s flagship secondary-private-equity fundraising.</w:t>
      </w:r>
      <w:r>
        <w:t xml:space="preserve"> </w:t>
      </w:r>
      <w:r>
        <w:t xml:space="preserve">Management previously said fundraising was progressing well, that Lexington was “in the market,” and that an update could come around the fiscal year-end period.</w:t>
      </w:r>
    </w:p>
    <w:p>
      <w:pPr>
        <w:pStyle w:val="Compact"/>
        <w:numPr>
          <w:ilvl w:val="0"/>
          <w:numId w:val="1001"/>
        </w:numPr>
      </w:pPr>
      <w:r>
        <w:rPr>
          <w:b/>
          <w:bCs/>
        </w:rPr>
        <w:t xml:space="preserve">Private-credit fundraising and deployment.</w:t>
      </w:r>
      <w:r>
        <w:t xml:space="preserve"> </w:t>
      </w:r>
      <w:r>
        <w:t xml:space="preserve">Management described private credit as the largest contributor to 2Q alternative fundraising, but market scrutiny around underwriting, software exposure, BDCs, and credit quality makes both fundraising and asset-quality commentary relevant.</w:t>
      </w:r>
    </w:p>
    <w:p>
      <w:pPr>
        <w:pStyle w:val="Compact"/>
        <w:numPr>
          <w:ilvl w:val="0"/>
          <w:numId w:val="1001"/>
        </w:numPr>
      </w:pPr>
      <w:r>
        <w:rPr>
          <w:b/>
          <w:bCs/>
        </w:rPr>
        <w:t xml:space="preserve">Evergreen alternatives.</w:t>
      </w:r>
      <w:r>
        <w:t xml:space="preserve"> </w:t>
      </w:r>
      <w:r>
        <w:t xml:space="preserve">Management had indicated approximately</w:t>
      </w:r>
      <w:r>
        <w:t xml:space="preserve"> </w:t>
      </w:r>
      <w:r>
        <w:rPr>
          <w:b/>
          <w:bCs/>
        </w:rPr>
        <w:t xml:space="preserve">$200 million per month</w:t>
      </w:r>
      <w:r>
        <w:t xml:space="preserve"> </w:t>
      </w:r>
      <w:r>
        <w:t xml:space="preserve">of fundraising across three evergreen strategies. Sustained growth would reinforce the wealth-channel opportunity.</w:t>
      </w:r>
    </w:p>
    <w:p>
      <w:pPr>
        <w:pStyle w:val="Compact"/>
        <w:numPr>
          <w:ilvl w:val="0"/>
          <w:numId w:val="1001"/>
        </w:numPr>
      </w:pPr>
      <w:r>
        <w:rPr>
          <w:b/>
          <w:bCs/>
        </w:rPr>
        <w:t xml:space="preserve">Fee-earning AUM conversion.</w:t>
      </w:r>
      <w:r>
        <w:t xml:space="preserve"> </w:t>
      </w:r>
      <w:r>
        <w:t xml:space="preserve">Management clarified that roughly</w:t>
      </w:r>
      <w:r>
        <w:t xml:space="preserve"> </w:t>
      </w:r>
      <w:r>
        <w:rPr>
          <w:b/>
          <w:bCs/>
        </w:rPr>
        <w:t xml:space="preserve">80%</w:t>
      </w:r>
      <w:r>
        <w:t xml:space="preserve"> </w:t>
      </w:r>
      <w:r>
        <w:t xml:space="preserve">of alternative AUM was currently fee-generating, while about</w:t>
      </w:r>
      <w:r>
        <w:t xml:space="preserve"> </w:t>
      </w:r>
      <w:r>
        <w:rPr>
          <w:b/>
          <w:bCs/>
        </w:rPr>
        <w:t xml:space="preserve">90%</w:t>
      </w:r>
      <w:r>
        <w:t xml:space="preserve"> </w:t>
      </w:r>
      <w:r>
        <w:t xml:space="preserve">had the potential to generate fees. The pace at which committed capital becomes fee-paying is important for future revenue growth.</w:t>
      </w:r>
    </w:p>
    <w:p>
      <w:pPr>
        <w:pStyle w:val="FirstParagraph"/>
      </w:pPr>
      <w:r>
        <w:t xml:space="preserve">The bull case is that Franklin’s diversified alternatives platform—not just a single flagship fund—can support more consistent high-fee organic growth. The bear case is that healthy commitments do not translate into fee-bearing AUM or that fundraising costs rise faster than related revenues.</w:t>
      </w:r>
    </w:p>
    <w:bookmarkEnd w:id="11"/>
    <w:bookmarkStart w:id="12" w:name="X9f450d87eb5ed16dd93593ccaec69f30f6a7781"/>
    <w:p>
      <w:pPr>
        <w:pStyle w:val="Heading3"/>
      </w:pPr>
      <w:r>
        <w:t xml:space="preserve">3. Margin progression versus investment spending</w:t>
      </w:r>
    </w:p>
    <w:p>
      <w:pPr>
        <w:pStyle w:val="FirstParagraph"/>
      </w:pPr>
      <w:r>
        <w:t xml:space="preserve">Fiscal 2Q adjusted operating margin increased to</w:t>
      </w:r>
      <w:r>
        <w:t xml:space="preserve"> </w:t>
      </w:r>
      <w:r>
        <w:rPr>
          <w:b/>
          <w:bCs/>
        </w:rPr>
        <w:t xml:space="preserve">27.1%</w:t>
      </w:r>
      <w:r>
        <w:t xml:space="preserve">, from</w:t>
      </w:r>
      <w:r>
        <w:t xml:space="preserve"> </w:t>
      </w:r>
      <w:r>
        <w:rPr>
          <w:b/>
          <w:bCs/>
        </w:rPr>
        <w:t xml:space="preserve">25.0%</w:t>
      </w:r>
      <w:r>
        <w:t xml:space="preserve"> </w:t>
      </w:r>
      <w:r>
        <w:t xml:space="preserve">in fiscal 1Q and</w:t>
      </w:r>
      <w:r>
        <w:t xml:space="preserve"> </w:t>
      </w:r>
      <w:r>
        <w:rPr>
          <w:b/>
          <w:bCs/>
        </w:rPr>
        <w:t xml:space="preserve">23.4%</w:t>
      </w:r>
      <w:r>
        <w:t xml:space="preserve"> </w:t>
      </w:r>
      <w:r>
        <w:t xml:space="preserve">a year earlier. Management’s medium-term goal is</w:t>
      </w:r>
      <w:r>
        <w:t xml:space="preserve"> </w:t>
      </w:r>
      <w:r>
        <w:rPr>
          <w:b/>
          <w:bCs/>
        </w:rPr>
        <w:t xml:space="preserve">30%+ adjusted operating margin later in fiscal 2027</w:t>
      </w:r>
      <w:r>
        <w:t xml:space="preserve">, and it previously indicated an expectation for a fiscal 4Q26 margin in the high-29% range.</w:t>
      </w:r>
    </w:p>
    <w:p>
      <w:pPr>
        <w:pStyle w:val="BodyText"/>
      </w:pPr>
      <w:r>
        <w:t xml:space="preserve">That makes fiscal 3Q a crucial bridge quarter.</w:t>
      </w:r>
    </w:p>
    <w:p>
      <w:pPr>
        <w:pStyle w:val="BodyText"/>
      </w:pPr>
      <w:r>
        <w:t xml:space="preserve">Management’s prior fiscal 3Q expense framework included:</w:t>
      </w:r>
    </w:p>
    <w:p>
      <w:pPr>
        <w:pStyle w:val="Compact"/>
        <w:numPr>
          <w:ilvl w:val="0"/>
          <w:numId w:val="1002"/>
        </w:numPr>
      </w:pPr>
      <w:r>
        <w:t xml:space="preserve">Effective fee rate guidance in the</w:t>
      </w:r>
      <w:r>
        <w:t xml:space="preserve"> </w:t>
      </w:r>
      <w:r>
        <w:rPr>
          <w:b/>
          <w:bCs/>
        </w:rPr>
        <w:t xml:space="preserve">mid- to high-37 bps</w:t>
      </w:r>
      <w:r>
        <w:t xml:space="preserve"> </w:t>
      </w:r>
      <w:r>
        <w:t xml:space="preserve">range;</w:t>
      </w:r>
    </w:p>
    <w:p>
      <w:pPr>
        <w:pStyle w:val="Compact"/>
        <w:numPr>
          <w:ilvl w:val="0"/>
          <w:numId w:val="1002"/>
        </w:numPr>
      </w:pPr>
      <w:r>
        <w:t xml:space="preserve">Compensation expense of approximately</w:t>
      </w:r>
      <w:r>
        <w:t xml:space="preserve"> </w:t>
      </w:r>
      <m:oMath>
        <m:r>
          <m:t>830</m:t>
        </m:r>
        <m:r>
          <m:t>m</m:t>
        </m:r>
        <m:r>
          <m:t>i</m:t>
        </m:r>
        <m:r>
          <m:t>l</m:t>
        </m:r>
        <m:r>
          <m:t>l</m:t>
        </m:r>
        <m:r>
          <m:t>i</m:t>
        </m:r>
        <m:r>
          <m:t>o</m:t>
        </m:r>
        <m:r>
          <m:t>n</m:t>
        </m:r>
        <m:r>
          <m:rPr>
            <m:sty m:val="p"/>
          </m:rPr>
          <m:t>*</m:t>
        </m:r>
        <m:r>
          <m:rPr>
            <m:sty m:val="p"/>
          </m:rPr>
          <m:t>*</m:t>
        </m:r>
        <m:r>
          <m:rPr>
            <m:sty m:val="p"/>
          </m:rPr>
          <m:t>,</m:t>
        </m:r>
        <m:r>
          <m:t>a</m:t>
        </m:r>
        <m:r>
          <m:t>s</m:t>
        </m:r>
        <m:r>
          <m:t>s</m:t>
        </m:r>
        <m:r>
          <m:t>u</m:t>
        </m:r>
        <m:r>
          <m:t>m</m:t>
        </m:r>
        <m:r>
          <m:t>i</m:t>
        </m:r>
        <m:r>
          <m:t>n</m:t>
        </m:r>
        <m:r>
          <m:t>g</m:t>
        </m:r>
        <m:r>
          <m:rPr>
            <m:sty m:val="p"/>
          </m:rPr>
          <m:t>*</m:t>
        </m:r>
        <m:r>
          <m:rPr>
            <m:sty m:val="p"/>
          </m:rPr>
          <m:t>*</m:t>
        </m:r>
      </m:oMath>
      <w:r>
        <w:rPr>
          <w:b/>
          <w:bCs/>
        </w:rPr>
        <w:t xml:space="preserve">50 million</w:t>
      </w:r>
      <w:r>
        <w:t xml:space="preserve"> </w:t>
      </w:r>
      <w:r>
        <w:t xml:space="preserve">of performance fees at a</w:t>
      </w:r>
      <w:r>
        <w:t xml:space="preserve"> </w:t>
      </w:r>
      <w:r>
        <w:rPr>
          <w:b/>
          <w:bCs/>
        </w:rPr>
        <w:t xml:space="preserve">55% payout</w:t>
      </w:r>
      <w:r>
        <w:t xml:space="preserve">;</w:t>
      </w:r>
    </w:p>
    <w:p>
      <w:pPr>
        <w:pStyle w:val="Compact"/>
        <w:numPr>
          <w:ilvl w:val="0"/>
          <w:numId w:val="1002"/>
        </w:numPr>
      </w:pPr>
      <w:r>
        <w:t xml:space="preserve">Information systems and technology expense of</w:t>
      </w:r>
      <w:r>
        <w:t xml:space="preserve"> </w:t>
      </w:r>
      <w:r>
        <w:rPr>
          <w:b/>
          <w:bCs/>
        </w:rPr>
        <w:t xml:space="preserve">$155 million</w:t>
      </w:r>
      <w:r>
        <w:t xml:space="preserve">, including AI investment;</w:t>
      </w:r>
    </w:p>
    <w:p>
      <w:pPr>
        <w:pStyle w:val="Compact"/>
        <w:numPr>
          <w:ilvl w:val="0"/>
          <w:numId w:val="1002"/>
        </w:numPr>
      </w:pPr>
      <w:r>
        <w:t xml:space="preserve">G&amp;A of</w:t>
      </w:r>
      <w:r>
        <w:t xml:space="preserve"> </w:t>
      </w:r>
      <m:oMath>
        <m:r>
          <m:t>210</m:t>
        </m:r>
        <m:r>
          <m:rPr>
            <m:sty m:val="p"/>
          </m:rPr>
          <m:t>–</m:t>
        </m:r>
        <m:r>
          <m:t>215</m:t>
        </m:r>
        <m:r>
          <m:t>m</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23–25 million</w:t>
      </w:r>
      <w:r>
        <w:t xml:space="preserve"> </w:t>
      </w:r>
      <w:r>
        <w:t xml:space="preserve">of elevated fundraising expense and</w:t>
      </w:r>
      <w:r>
        <w:t xml:space="preserve"> </w:t>
      </w:r>
      <w:r>
        <w:rPr>
          <w:b/>
          <w:bCs/>
        </w:rPr>
        <w:t xml:space="preserve">$9–10 million</w:t>
      </w:r>
      <w:r>
        <w:t xml:space="preserve"> </w:t>
      </w:r>
      <w:r>
        <w:t xml:space="preserve">of additional advertising/marketing.</w:t>
      </w:r>
    </w:p>
    <w:p>
      <w:pPr>
        <w:pStyle w:val="FirstParagraph"/>
      </w:pPr>
      <w:r>
        <w:t xml:space="preserve">The main question is whether investment-management-fee growth and mix shift can outrun these expenses. Management had previously said it expected investment-management-fee revenue growth to be at least four times expense growth under its planning assumptions. Delivery against that relationship matters more than a small EPS variance.</w:t>
      </w:r>
    </w:p>
    <w:bookmarkEnd w:id="12"/>
    <w:bookmarkStart w:id="13" w:name="Xb7df823334a0962bbd0f0bff01c80e7acd12af0"/>
    <w:p>
      <w:pPr>
        <w:pStyle w:val="Heading3"/>
      </w:pPr>
      <w:r>
        <w:t xml:space="preserve">4. Market appreciation should support average AUM—but mix matters</w:t>
      </w:r>
    </w:p>
    <w:p>
      <w:pPr>
        <w:pStyle w:val="FirstParagraph"/>
      </w:pPr>
      <w:r>
        <w:t xml:space="preserve">At March 31, total AUM was</w:t>
      </w:r>
      <w:r>
        <w:t xml:space="preserve"> </w:t>
      </w:r>
      <m:oMath>
        <m:r>
          <m:t>1.682</m:t>
        </m:r>
        <m:r>
          <m:t>t</m:t>
        </m:r>
        <m:r>
          <m:t>r</m:t>
        </m:r>
        <m:r>
          <m:t>i</m:t>
        </m:r>
        <m:r>
          <m:t>l</m:t>
        </m:r>
        <m:r>
          <m:t>l</m:t>
        </m:r>
        <m:r>
          <m:t>i</m:t>
        </m:r>
        <m:r>
          <m:t>o</m:t>
        </m:r>
        <m:r>
          <m:t>n</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s</m:t>
        </m:r>
        <m:r>
          <m:t>e</m:t>
        </m:r>
        <m:r>
          <m:t>q</m:t>
        </m:r>
        <m:r>
          <m:t>u</m:t>
        </m:r>
        <m:r>
          <m:t>e</m:t>
        </m:r>
        <m:r>
          <m:t>n</m:t>
        </m:r>
        <m:r>
          <m:t>t</m:t>
        </m:r>
        <m:r>
          <m:t>i</m:t>
        </m:r>
        <m:r>
          <m:t>a</m:t>
        </m:r>
        <m:r>
          <m:t>l</m:t>
        </m:r>
        <m:r>
          <m:t>l</m:t>
        </m:r>
        <m:r>
          <m:t>y</m:t>
        </m:r>
        <m:r>
          <m:t>b</m:t>
        </m:r>
        <m:r>
          <m:t>e</m:t>
        </m:r>
        <m:r>
          <m:t>c</m:t>
        </m:r>
        <m:r>
          <m:t>a</m:t>
        </m:r>
        <m:r>
          <m:t>u</m:t>
        </m:r>
        <m:r>
          <m:t>s</m:t>
        </m:r>
        <m:r>
          <m:t>e</m:t>
        </m:r>
        <m:r>
          <m:t>p</m:t>
        </m:r>
        <m:r>
          <m:t>o</m:t>
        </m:r>
        <m:r>
          <m:t>s</m:t>
        </m:r>
        <m:r>
          <m:t>i</m:t>
        </m:r>
        <m:r>
          <m:t>t</m:t>
        </m:r>
        <m:r>
          <m:t>i</m:t>
        </m:r>
        <m:r>
          <m:t>v</m:t>
        </m:r>
        <m:r>
          <m:t>e</m:t>
        </m:r>
        <m:r>
          <m:t>f</m:t>
        </m:r>
        <m:r>
          <m:t>l</m:t>
        </m:r>
        <m:r>
          <m:t>o</m:t>
        </m:r>
        <m:r>
          <m:t>w</m:t>
        </m:r>
        <m:r>
          <m:t>s</m:t>
        </m:r>
        <m:r>
          <m:t>w</m:t>
        </m:r>
        <m:r>
          <m:t>e</m:t>
        </m:r>
        <m:r>
          <m:t>r</m:t>
        </m:r>
        <m:r>
          <m:t>e</m:t>
        </m:r>
        <m:r>
          <m:t>o</m:t>
        </m:r>
        <m:r>
          <m:t>f</m:t>
        </m:r>
        <m:r>
          <m:t>f</m:t>
        </m:r>
        <m:r>
          <m:t>s</m:t>
        </m:r>
        <m:r>
          <m:t>e</m:t>
        </m:r>
        <m:r>
          <m:t>t</m:t>
        </m:r>
        <m:r>
          <m:t>b</m:t>
        </m:r>
        <m:r>
          <m:t>y</m:t>
        </m:r>
        <m:r>
          <m:t>m</m:t>
        </m:r>
        <m:r>
          <m:t>a</m:t>
        </m:r>
        <m:r>
          <m:t>r</m:t>
        </m:r>
        <m:r>
          <m:t>k</m:t>
        </m:r>
        <m:r>
          <m:t>e</m:t>
        </m:r>
        <m:r>
          <m:t>t</m:t>
        </m:r>
        <m:r>
          <m:t>d</m:t>
        </m:r>
        <m:r>
          <m:t>e</m:t>
        </m:r>
        <m:r>
          <m:t>p</m:t>
        </m:r>
        <m:r>
          <m:t>r</m:t>
        </m:r>
        <m:r>
          <m:t>e</m:t>
        </m:r>
        <m:r>
          <m:t>c</m:t>
        </m:r>
        <m:r>
          <m:t>i</m:t>
        </m:r>
        <m:r>
          <m:t>a</m:t>
        </m:r>
        <m:r>
          <m:t>t</m:t>
        </m:r>
        <m:r>
          <m:t>i</m:t>
        </m:r>
        <m:r>
          <m:t>o</m:t>
        </m:r>
        <m:r>
          <m:t>n</m:t>
        </m:r>
        <m:r>
          <m:rPr>
            <m:sty m:val="p"/>
          </m:rPr>
          <m:t>,</m:t>
        </m:r>
        <m:r>
          <m:t>d</m:t>
        </m:r>
        <m:r>
          <m:t>i</m:t>
        </m:r>
        <m:r>
          <m:t>s</m:t>
        </m:r>
        <m:r>
          <m:t>t</m:t>
        </m:r>
        <m:r>
          <m:t>r</m:t>
        </m:r>
        <m:r>
          <m:t>i</m:t>
        </m:r>
        <m:r>
          <m:t>b</m:t>
        </m:r>
        <m:r>
          <m:t>u</m:t>
        </m:r>
        <m:r>
          <m:t>t</m:t>
        </m:r>
        <m:r>
          <m:t>i</m:t>
        </m:r>
        <m:r>
          <m:t>o</m:t>
        </m:r>
        <m:r>
          <m:t>n</m:t>
        </m:r>
        <m:r>
          <m:t>s</m:t>
        </m:r>
        <m:r>
          <m:rPr>
            <m:sty m:val="p"/>
          </m:rPr>
          <m:t>,</m:t>
        </m:r>
        <m:r>
          <m:t>a</m:t>
        </m:r>
        <m:r>
          <m:t>n</m:t>
        </m:r>
        <m:r>
          <m:t>d</m:t>
        </m:r>
        <m:r>
          <m:t>o</m:t>
        </m:r>
        <m:r>
          <m:t>t</m:t>
        </m:r>
        <m:r>
          <m:t>h</m:t>
        </m:r>
        <m:r>
          <m:t>e</m:t>
        </m:r>
        <m:r>
          <m:t>r</m:t>
        </m:r>
        <m:r>
          <m:t>c</m:t>
        </m:r>
        <m:r>
          <m:t>h</m:t>
        </m:r>
        <m:r>
          <m:t>a</m:t>
        </m:r>
        <m:r>
          <m:t>n</m:t>
        </m:r>
        <m:r>
          <m:t>g</m:t>
        </m:r>
        <m:r>
          <m:t>e</m:t>
        </m:r>
        <m:r>
          <m:t>s</m:t>
        </m:r>
        <m:r>
          <m:rPr>
            <m:sty m:val="p"/>
          </m:rPr>
          <m:t>.</m:t>
        </m:r>
        <m:r>
          <m:t>E</m:t>
        </m:r>
        <m:r>
          <m:t>q</m:t>
        </m:r>
        <m:r>
          <m:t>u</m:t>
        </m:r>
        <m:r>
          <m:t>i</m:t>
        </m:r>
        <m:r>
          <m:t>t</m:t>
        </m:r>
        <m:r>
          <m:t>y</m:t>
        </m:r>
        <m:r>
          <m:t>A</m:t>
        </m:r>
        <m:r>
          <m:t>U</m:t>
        </m:r>
        <m:r>
          <m:t>M</m:t>
        </m:r>
        <m:r>
          <m:t>w</m:t>
        </m:r>
        <m:r>
          <m:t>a</m:t>
        </m:r>
        <m:r>
          <m:t>s</m:t>
        </m:r>
        <m:r>
          <m:rPr>
            <m:sty m:val="p"/>
          </m:rPr>
          <m:t>*</m:t>
        </m:r>
        <m:r>
          <m:rPr>
            <m:sty m:val="p"/>
          </m:rPr>
          <m:t>*</m:t>
        </m:r>
      </m:oMath>
      <w:r>
        <w:rPr>
          <w:b/>
          <w:bCs/>
        </w:rPr>
        <w:t xml:space="preserve">669.7 billion</w:t>
      </w:r>
      <w:r>
        <w:t xml:space="preserve">, alternatives</w:t>
      </w:r>
      <w:r>
        <w:t xml:space="preserve"> </w:t>
      </w:r>
      <m:oMath>
        <m:r>
          <m:t>282.8</m:t>
        </m:r>
        <m:r>
          <m:t>b</m:t>
        </m:r>
        <m:r>
          <m:t>i</m:t>
        </m:r>
        <m:r>
          <m:t>l</m:t>
        </m:r>
        <m:r>
          <m:t>l</m:t>
        </m:r>
        <m:r>
          <m:t>i</m:t>
        </m:r>
        <m:r>
          <m:t>o</m:t>
        </m:r>
        <m:r>
          <m:t>n</m:t>
        </m:r>
        <m:r>
          <m:rPr>
            <m:sty m:val="p"/>
          </m:rPr>
          <m:t>*</m:t>
        </m:r>
        <m:r>
          <m:rPr>
            <m:sty m:val="p"/>
          </m:rPr>
          <m:t>*</m:t>
        </m:r>
        <m:r>
          <m:rPr>
            <m:sty m:val="p"/>
          </m:rPr>
          <m:t>,</m:t>
        </m:r>
        <m:r>
          <m:t>m</m:t>
        </m:r>
        <m:r>
          <m:t>u</m:t>
        </m:r>
        <m:r>
          <m:t>l</m:t>
        </m:r>
        <m:r>
          <m:t>t</m:t>
        </m:r>
        <m:r>
          <m:t>i</m:t>
        </m:r>
        <m:r>
          <m:rPr>
            <m:sty m:val="p"/>
          </m:rPr>
          <m:t>−</m:t>
        </m:r>
        <m:r>
          <m:t>a</m:t>
        </m:r>
        <m:r>
          <m:t>s</m:t>
        </m:r>
        <m:r>
          <m:t>s</m:t>
        </m:r>
        <m:r>
          <m:t>e</m:t>
        </m:r>
        <m:r>
          <m:t>t</m:t>
        </m:r>
        <m:r>
          <m:rPr>
            <m:sty m:val="p"/>
          </m:rPr>
          <m:t>*</m:t>
        </m:r>
        <m:r>
          <m:rPr>
            <m:sty m:val="p"/>
          </m:rPr>
          <m:t>*</m:t>
        </m:r>
      </m:oMath>
      <w:r>
        <w:rPr>
          <w:b/>
          <w:bCs/>
        </w:rPr>
        <w:t xml:space="preserve">207.5 billion</w:t>
      </w:r>
      <w:r>
        <w:t xml:space="preserve">, fixed income</w:t>
      </w:r>
      <w:r>
        <w:t xml:space="preserve"> </w:t>
      </w:r>
      <m:oMath>
        <m:r>
          <m:t>434.3</m:t>
        </m:r>
        <m:r>
          <m:t>b</m:t>
        </m:r>
        <m:r>
          <m:t>i</m:t>
        </m:r>
        <m:r>
          <m:t>l</m:t>
        </m:r>
        <m:r>
          <m:t>l</m:t>
        </m:r>
        <m:r>
          <m:t>i</m:t>
        </m:r>
        <m:r>
          <m:t>o</m:t>
        </m:r>
        <m:r>
          <m:t>n</m:t>
        </m:r>
        <m:r>
          <m:rPr>
            <m:sty m:val="p"/>
          </m:rPr>
          <m:t>*</m:t>
        </m:r>
        <m:r>
          <m:rPr>
            <m:sty m:val="p"/>
          </m:rPr>
          <m:t>*</m:t>
        </m:r>
        <m:r>
          <m:rPr>
            <m:sty m:val="p"/>
          </m:rPr>
          <m:t>,</m:t>
        </m:r>
        <m:r>
          <m:t>a</m:t>
        </m:r>
        <m:r>
          <m:t>n</m:t>
        </m:r>
        <m:r>
          <m:t>d</m:t>
        </m:r>
        <m:r>
          <m:t>c</m:t>
        </m:r>
        <m:r>
          <m:t>a</m:t>
        </m:r>
        <m:r>
          <m:t>s</m:t>
        </m:r>
        <m:r>
          <m:t>h</m:t>
        </m:r>
        <m:r>
          <m:t>m</m:t>
        </m:r>
        <m:r>
          <m:t>a</m:t>
        </m:r>
        <m:r>
          <m:t>n</m:t>
        </m:r>
        <m:r>
          <m:t>a</m:t>
        </m:r>
        <m:r>
          <m:t>g</m:t>
        </m:r>
        <m:r>
          <m:t>e</m:t>
        </m:r>
        <m:r>
          <m:t>m</m:t>
        </m:r>
        <m:r>
          <m:t>e</m:t>
        </m:r>
        <m:r>
          <m:t>n</m:t>
        </m:r>
        <m:r>
          <m:t>t</m:t>
        </m:r>
        <m:r>
          <m:rPr>
            <m:sty m:val="p"/>
          </m:rPr>
          <m:t>*</m:t>
        </m:r>
        <m:r>
          <m:rPr>
            <m:sty m:val="p"/>
          </m:rPr>
          <m:t>*</m:t>
        </m:r>
      </m:oMath>
      <w:r>
        <w:rPr>
          <w:b/>
          <w:bCs/>
        </w:rPr>
        <w:t xml:space="preserve">87.8 billion</w:t>
      </w:r>
      <w:r>
        <w:t xml:space="preserve">.</w:t>
      </w:r>
    </w:p>
    <w:p>
      <w:pPr>
        <w:pStyle w:val="BodyText"/>
      </w:pPr>
      <w:r>
        <w:t xml:space="preserve">The market backdrop into June was considerably better than the March quarter. That should support average AUM and management fees, particularly in equities and multi-asset. However, investors should distinguish:</w:t>
      </w:r>
    </w:p>
    <w:p>
      <w:pPr>
        <w:pStyle w:val="Compact"/>
        <w:numPr>
          <w:ilvl w:val="0"/>
          <w:numId w:val="1003"/>
        </w:numPr>
      </w:pPr>
      <w:r>
        <w:rPr>
          <w:b/>
          <w:bCs/>
        </w:rPr>
        <w:t xml:space="preserve">Market-driven AUM gains</w:t>
      </w:r>
      <w:r>
        <w:t xml:space="preserve">, which are useful but volatile;</w:t>
      </w:r>
    </w:p>
    <w:p>
      <w:pPr>
        <w:pStyle w:val="Compact"/>
        <w:numPr>
          <w:ilvl w:val="0"/>
          <w:numId w:val="1003"/>
        </w:numPr>
      </w:pPr>
      <w:r>
        <w:rPr>
          <w:b/>
          <w:bCs/>
        </w:rPr>
        <w:t xml:space="preserve">Net new flows</w:t>
      </w:r>
      <w:r>
        <w:t xml:space="preserve">, which demonstrate franchise health;</w:t>
      </w:r>
    </w:p>
    <w:p>
      <w:pPr>
        <w:pStyle w:val="Compact"/>
        <w:numPr>
          <w:ilvl w:val="0"/>
          <w:numId w:val="1003"/>
        </w:numPr>
      </w:pPr>
      <w:r>
        <w:rPr>
          <w:b/>
          <w:bCs/>
        </w:rPr>
        <w:t xml:space="preserve">Growth in higher-fee alternatives, active ETFs, SMAs, and tax-managed solutions</w:t>
      </w:r>
      <w:r>
        <w:t xml:space="preserve">, which is most valuable for the fee rate and margins.</w:t>
      </w:r>
    </w:p>
    <w:p>
      <w:pPr>
        <w:pStyle w:val="FirstParagraph"/>
      </w:pPr>
      <w:r>
        <w:t xml:space="preserve">A strong ending-AUM figure without organic flow continuation would be less compelling than a modest AUM increase accompanied by another broad positive-flow quarter.</w:t>
      </w:r>
    </w:p>
    <w:bookmarkEnd w:id="13"/>
    <w:bookmarkEnd w:id="14"/>
    <w:bookmarkStart w:id="15" w:name="baseline-comparison-fiscal-2q26"/>
    <w:p>
      <w:pPr>
        <w:pStyle w:val="Heading2"/>
      </w:pPr>
      <w:r>
        <w:t xml:space="preserve">Baseline comparison: fiscal 2Q26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2Q26</w:t>
            </w:r>
          </w:p>
        </w:tc>
        <w:tc>
          <w:tcPr/>
          <w:p>
            <w:pPr>
              <w:pStyle w:val="Compact"/>
              <w:jc w:val="right"/>
            </w:pPr>
            <w:r>
              <w:t xml:space="preserve">Sequential change</w:t>
            </w:r>
          </w:p>
        </w:tc>
        <w:tc>
          <w:tcPr/>
          <w:p>
            <w:pPr>
              <w:pStyle w:val="Compact"/>
              <w:jc w:val="right"/>
            </w:pPr>
            <w:r>
              <w:t xml:space="preserve">Year/year change</w:t>
            </w:r>
          </w:p>
        </w:tc>
      </w:tr>
      <w:tr>
        <w:tc>
          <w:tcPr/>
          <w:p>
            <w:pPr>
              <w:pStyle w:val="Compact"/>
            </w:pPr>
            <w:r>
              <w:t xml:space="preserve">Operating revenue</w:t>
            </w:r>
          </w:p>
        </w:tc>
        <w:tc>
          <w:tcPr/>
          <w:p>
            <w:pPr>
              <w:pStyle w:val="Compact"/>
              <w:jc w:val="right"/>
            </w:pPr>
            <w:r>
              <w:rPr>
                <w:b/>
                <w:bCs/>
              </w:rPr>
              <w:t xml:space="preserve">$2.295B</w:t>
            </w:r>
          </w:p>
        </w:tc>
        <w:tc>
          <w:tcPr/>
          <w:p>
            <w:pPr>
              <w:pStyle w:val="Compact"/>
              <w:jc w:val="right"/>
            </w:pPr>
            <w:r>
              <w:t xml:space="preserve">-1%</w:t>
            </w:r>
          </w:p>
        </w:tc>
        <w:tc>
          <w:tcPr/>
          <w:p>
            <w:pPr>
              <w:pStyle w:val="Compact"/>
              <w:jc w:val="right"/>
            </w:pPr>
            <w:r>
              <w:t xml:space="preserve">+9%</w:t>
            </w:r>
          </w:p>
        </w:tc>
      </w:tr>
      <w:tr>
        <w:tc>
          <w:tcPr/>
          <w:p>
            <w:pPr>
              <w:pStyle w:val="Compact"/>
            </w:pPr>
            <w:r>
              <w:t xml:space="preserve">GAAP diluted EPS</w:t>
            </w:r>
          </w:p>
        </w:tc>
        <w:tc>
          <w:tcPr/>
          <w:p>
            <w:pPr>
              <w:pStyle w:val="Compact"/>
              <w:jc w:val="right"/>
            </w:pPr>
            <w:r>
              <w:rPr>
                <w:b/>
                <w:bCs/>
              </w:rPr>
              <w:t xml:space="preserve">$0.49</w:t>
            </w:r>
          </w:p>
        </w:tc>
        <w:tc>
          <w:tcPr/>
          <w:p>
            <w:pPr>
              <w:pStyle w:val="Compact"/>
              <w:jc w:val="right"/>
            </w:pPr>
            <w:r>
              <w:t xml:space="preserve">+7%</w:t>
            </w:r>
          </w:p>
        </w:tc>
        <w:tc>
          <w:tcPr/>
          <w:p>
            <w:pPr>
              <w:pStyle w:val="Compact"/>
              <w:jc w:val="right"/>
            </w:pPr>
            <w:r>
              <w:t xml:space="preserve">+88%</w:t>
            </w:r>
          </w:p>
        </w:tc>
      </w:tr>
      <w:tr>
        <w:tc>
          <w:tcPr/>
          <w:p>
            <w:pPr>
              <w:pStyle w:val="Compact"/>
            </w:pPr>
            <w:r>
              <w:t xml:space="preserve">Adjusted diluted EPS</w:t>
            </w:r>
          </w:p>
        </w:tc>
        <w:tc>
          <w:tcPr/>
          <w:p>
            <w:pPr>
              <w:pStyle w:val="Compact"/>
              <w:jc w:val="right"/>
            </w:pPr>
            <w:r>
              <w:rPr>
                <w:b/>
                <w:bCs/>
              </w:rPr>
              <w:t xml:space="preserve">$0.71</w:t>
            </w:r>
          </w:p>
        </w:tc>
        <w:tc>
          <w:tcPr/>
          <w:p>
            <w:pPr>
              <w:pStyle w:val="Compact"/>
              <w:jc w:val="right"/>
            </w:pPr>
            <w:r>
              <w:t xml:space="preserve">+1%</w:t>
            </w:r>
          </w:p>
        </w:tc>
        <w:tc>
          <w:tcPr/>
          <w:p>
            <w:pPr>
              <w:pStyle w:val="Compact"/>
              <w:jc w:val="right"/>
            </w:pPr>
            <w:r>
              <w:t xml:space="preserve">+51%</w:t>
            </w:r>
          </w:p>
        </w:tc>
      </w:tr>
      <w:tr>
        <w:tc>
          <w:tcPr/>
          <w:p>
            <w:pPr>
              <w:pStyle w:val="Compact"/>
            </w:pPr>
            <w:r>
              <w:t xml:space="preserve">Adjusted operating income</w:t>
            </w:r>
          </w:p>
        </w:tc>
        <w:tc>
          <w:tcPr/>
          <w:p>
            <w:pPr>
              <w:pStyle w:val="Compact"/>
              <w:jc w:val="right"/>
            </w:pPr>
            <w:r>
              <w:rPr>
                <w:b/>
                <w:bCs/>
              </w:rPr>
              <w:t xml:space="preserve">$474.6M</w:t>
            </w:r>
          </w:p>
        </w:tc>
        <w:tc>
          <w:tcPr/>
          <w:p>
            <w:pPr>
              <w:pStyle w:val="Compact"/>
              <w:jc w:val="right"/>
            </w:pPr>
            <w:r>
              <w:t xml:space="preserve">+9%</w:t>
            </w:r>
          </w:p>
        </w:tc>
        <w:tc>
          <w:tcPr/>
          <w:p>
            <w:pPr>
              <w:pStyle w:val="Compact"/>
              <w:jc w:val="right"/>
            </w:pPr>
            <w:r>
              <w:t xml:space="preserve">+26%</w:t>
            </w:r>
          </w:p>
        </w:tc>
      </w:tr>
      <w:tr>
        <w:tc>
          <w:tcPr/>
          <w:p>
            <w:pPr>
              <w:pStyle w:val="Compact"/>
            </w:pPr>
            <w:r>
              <w:t xml:space="preserve">Adjusted operating margin</w:t>
            </w:r>
          </w:p>
        </w:tc>
        <w:tc>
          <w:tcPr/>
          <w:p>
            <w:pPr>
              <w:pStyle w:val="Compact"/>
              <w:jc w:val="right"/>
            </w:pPr>
            <w:r>
              <w:rPr>
                <w:b/>
                <w:bCs/>
              </w:rPr>
              <w:t xml:space="preserve">27.1%</w:t>
            </w:r>
          </w:p>
        </w:tc>
        <w:tc>
          <w:tcPr/>
          <w:p>
            <w:pPr>
              <w:pStyle w:val="Compact"/>
              <w:jc w:val="right"/>
            </w:pPr>
            <w:r>
              <w:t xml:space="preserve">+210 bps</w:t>
            </w:r>
          </w:p>
        </w:tc>
        <w:tc>
          <w:tcPr/>
          <w:p>
            <w:pPr>
              <w:pStyle w:val="Compact"/>
              <w:jc w:val="right"/>
            </w:pPr>
            <w:r>
              <w:t xml:space="preserve">+370 bps</w:t>
            </w:r>
          </w:p>
        </w:tc>
      </w:tr>
      <w:tr>
        <w:tc>
          <w:tcPr/>
          <w:p>
            <w:pPr>
              <w:pStyle w:val="Compact"/>
            </w:pPr>
            <w:r>
              <w:t xml:space="preserve">Ending AUM</w:t>
            </w:r>
          </w:p>
        </w:tc>
        <w:tc>
          <w:tcPr/>
          <w:p>
            <w:pPr>
              <w:pStyle w:val="Compact"/>
              <w:jc w:val="right"/>
            </w:pPr>
            <w:r>
              <w:rPr>
                <w:b/>
                <w:bCs/>
              </w:rPr>
              <w:t xml:space="preserve">$1.682T</w:t>
            </w:r>
          </w:p>
        </w:tc>
        <w:tc>
          <w:tcPr/>
          <w:p>
            <w:pPr>
              <w:pStyle w:val="Compact"/>
              <w:jc w:val="right"/>
            </w:pPr>
            <w:r>
              <w:t xml:space="preserve">Flat</w:t>
            </w:r>
          </w:p>
        </w:tc>
        <w:tc>
          <w:tcPr/>
          <w:p>
            <w:pPr>
              <w:pStyle w:val="Compact"/>
              <w:jc w:val="right"/>
            </w:pPr>
            <w:r>
              <w:t xml:space="preserve">+9%</w:t>
            </w:r>
          </w:p>
        </w:tc>
      </w:tr>
      <w:tr>
        <w:tc>
          <w:tcPr/>
          <w:p>
            <w:pPr>
              <w:pStyle w:val="Compact"/>
            </w:pPr>
            <w:r>
              <w:t xml:space="preserve">Long-term net flows</w:t>
            </w:r>
          </w:p>
        </w:tc>
        <w:tc>
          <w:tcPr/>
          <w:p>
            <w:pPr>
              <w:pStyle w:val="Compact"/>
              <w:jc w:val="right"/>
            </w:pPr>
            <w:r>
              <w:rPr>
                <w:b/>
                <w:bCs/>
              </w:rPr>
              <w:t xml:space="preserve">+$16.9B</w:t>
            </w:r>
          </w:p>
        </w:tc>
        <w:tc>
          <w:tcPr/>
          <w:p>
            <w:pPr>
              <w:pStyle w:val="Compact"/>
              <w:jc w:val="right"/>
            </w:pPr>
            <w:r>
              <w:t xml:space="preserve">Down from +$28.0B</w:t>
            </w:r>
          </w:p>
        </w:tc>
        <w:tc>
          <w:tcPr/>
          <w:p>
            <w:pPr>
              <w:pStyle w:val="Compact"/>
              <w:jc w:val="right"/>
            </w:pPr>
            <w:r>
              <w:t xml:space="preserve">Improved from -$26.2B</w:t>
            </w:r>
          </w:p>
        </w:tc>
      </w:tr>
    </w:tbl>
    <w:bookmarkEnd w:id="15"/>
    <w:bookmarkStart w:id="20" w:name="risks-and-potential-negative-surprises"/>
    <w:p>
      <w:pPr>
        <w:pStyle w:val="Heading2"/>
      </w:pPr>
      <w:r>
        <w:t xml:space="preserve">Risks and potential negative surprises</w:t>
      </w:r>
    </w:p>
    <w:bookmarkStart w:id="16" w:name="western-asset-management-overhang"/>
    <w:p>
      <w:pPr>
        <w:pStyle w:val="Heading3"/>
      </w:pPr>
      <w:r>
        <w:t xml:space="preserve">Western Asset Management overhang</w:t>
      </w:r>
    </w:p>
    <w:p>
      <w:pPr>
        <w:pStyle w:val="FirstParagraph"/>
      </w:pPr>
      <w:r>
        <w:t xml:space="preserve">Western Asset remained a drag on flows in fiscal 2Q, with</w:t>
      </w:r>
      <w:r>
        <w:t xml:space="preserve"> </w:t>
      </w:r>
      <w:r>
        <w:rPr>
          <w:b/>
          <w:bCs/>
        </w:rPr>
        <w:t xml:space="preserve">$4.1 billion</w:t>
      </w:r>
      <w:r>
        <w:t xml:space="preserve"> </w:t>
      </w:r>
      <w:r>
        <w:t xml:space="preserve">of long-term net outflows. In addition, the March 10-Q disclosed ongoing SEC-related matters and shareholder litigation tied to historical trade-allocation allegations. The company said it was cooperating and intended to defend litigation vigorously, but investors will want an update on regulatory, legal, reputational, and client-retention implications.</w:t>
      </w:r>
    </w:p>
    <w:bookmarkEnd w:id="16"/>
    <w:bookmarkStart w:id="17" w:name="X5e244491422424a73cd1f6fb4b4c996352f3fdd"/>
    <w:p>
      <w:pPr>
        <w:pStyle w:val="Heading3"/>
      </w:pPr>
      <w:r>
        <w:t xml:space="preserve">Performance-fee and investment-income volatility</w:t>
      </w:r>
    </w:p>
    <w:p>
      <w:pPr>
        <w:pStyle w:val="FirstParagraph"/>
      </w:pPr>
      <w:r>
        <w:t xml:space="preserve">BEN’s GAAP earnings can be noisy because of consolidated investment products, noncontrolling interests, unrealized investment marks, and performance fees. The cleanest read is likely to come from</w:t>
      </w:r>
      <w:r>
        <w:t xml:space="preserve"> </w:t>
      </w:r>
      <w:r>
        <w:rPr>
          <w:b/>
          <w:bCs/>
        </w:rPr>
        <w:t xml:space="preserve">adjusted EPS, adjusted operating margin, underlying fee revenue, and flows</w:t>
      </w:r>
      <w:r>
        <w:t xml:space="preserve">, rather than headline GAAP EPS alone.</w:t>
      </w:r>
    </w:p>
    <w:bookmarkEnd w:id="17"/>
    <w:bookmarkStart w:id="18" w:name="equity-outflows-and-fee-rate-pressure"/>
    <w:p>
      <w:pPr>
        <w:pStyle w:val="Heading3"/>
      </w:pPr>
      <w:r>
        <w:t xml:space="preserve">Equity outflows and fee-rate pressure</w:t>
      </w:r>
    </w:p>
    <w:p>
      <w:pPr>
        <w:pStyle w:val="FirstParagraph"/>
      </w:pPr>
      <w:r>
        <w:t xml:space="preserve">Even with the more diversified platform, equity net outflows persisted in fiscal 2Q. A renewed pressure on active-equity flows, or unfavorable mix toward lower-fee cash and passive exposures, could offset some of the benefit from market appreciation.</w:t>
      </w:r>
    </w:p>
    <w:bookmarkEnd w:id="18"/>
    <w:bookmarkStart w:id="19" w:name="expense-discipline"/>
    <w:p>
      <w:pPr>
        <w:pStyle w:val="Heading3"/>
      </w:pPr>
      <w:r>
        <w:t xml:space="preserve">Expense discipline</w:t>
      </w:r>
    </w:p>
    <w:p>
      <w:pPr>
        <w:pStyle w:val="FirstParagraph"/>
      </w:pPr>
      <w:r>
        <w:t xml:space="preserve">The investment case assumes Franklin can fund AI, distribution, digital assets, and alternatives growth without sacrificing its margin trajectory. Elevated fundraising, marketing, and technology spending is appropriate if it translates into durable revenue, but investors will be sensitive to signs that the cost base is rising ahead of revenues.</w:t>
      </w:r>
    </w:p>
    <w:bookmarkEnd w:id="19"/>
    <w:bookmarkEnd w:id="20"/>
    <w:bookmarkStart w:id="21" w:name="X1f897a1f8cc000717cf17560491e8e2511659db"/>
    <w:p>
      <w:pPr>
        <w:pStyle w:val="Heading2"/>
      </w:pPr>
      <w:r>
        <w:t xml:space="preserve">A smaller but relevant item: leadership retention awards</w:t>
      </w:r>
    </w:p>
    <w:p>
      <w:pPr>
        <w:pStyle w:val="FirstParagraph"/>
      </w:pPr>
      <w:r>
        <w:t xml:space="preserve">On July 21, Franklin granted four senior executives—including CEO Jenny Johnson, CFO/COO Matthew Nicholls, and Co-President/CCO Daniel Gamba—one-time retention equity awards with aggregate grant-date fair value of approximately</w:t>
      </w:r>
      <w:r>
        <w:t xml:space="preserve"> </w:t>
      </w:r>
      <w:r>
        <w:rPr>
          <w:b/>
          <w:bCs/>
        </w:rPr>
        <w:t xml:space="preserve">$60 million</w:t>
      </w:r>
      <w:r>
        <w:t xml:space="preserve">. Half of each award is performance-based, tied to fiscal 2027–2029 operating-margin performance and relative TSR; the other half vests after five years. The company also added at-risk carried-interest incentives for the CEO and executive chairman tied to future private-markets and alternatives performance.</w:t>
      </w:r>
    </w:p>
    <w:p>
      <w:pPr>
        <w:pStyle w:val="BodyText"/>
      </w:pPr>
      <w:r>
        <w:t xml:space="preserve">The immediate quarterly P&amp;L effect should be limited because the awards vest over multi-year periods, but the disclosure reinforces two messages:</w:t>
      </w:r>
      <w:r>
        <w:t xml:space="preserve"> </w:t>
      </w:r>
      <w:r>
        <w:rPr>
          <w:b/>
          <w:bCs/>
        </w:rPr>
        <w:t xml:space="preserve">leadership continuity is strategically important</w:t>
      </w:r>
      <w:r>
        <w:t xml:space="preserve">, and</w:t>
      </w:r>
      <w:r>
        <w:t xml:space="preserve"> </w:t>
      </w:r>
      <w:r>
        <w:rPr>
          <w:b/>
          <w:bCs/>
        </w:rPr>
        <w:t xml:space="preserve">margin expansion plus alternatives growth are explicitly central to executive incentives</w:t>
      </w:r>
      <w:r>
        <w:t xml:space="preserve">.</w:t>
      </w:r>
    </w:p>
    <w:bookmarkEnd w:id="21"/>
    <w:bookmarkStart w:id="25" w:name="bottom-line"/>
    <w:p>
      <w:pPr>
        <w:pStyle w:val="Heading2"/>
      </w:pPr>
      <w:r>
        <w:t xml:space="preserve">Bottom line</w:t>
      </w:r>
    </w:p>
    <w:p>
      <w:pPr>
        <w:pStyle w:val="FirstParagraph"/>
      </w:pPr>
      <w:r>
        <w:rPr>
          <w:b/>
          <w:bCs/>
        </w:rPr>
        <w:t xml:space="preserve">The setup is constructive, but expectations are higher.</w:t>
      </w:r>
      <w:r>
        <w:t xml:space="preserve"> </w:t>
      </w:r>
      <w:r>
        <w:t xml:space="preserve">A favorable June market environment should help AUM and fee revenue; the real test is whether BEN can produce another quarter of broad positive long-term flows—especially in alternatives, multi-asset, ETFs, Canvas, and ex-Western fixed income—and pair that growth with another step toward its 30%+ adjusted-margin target.</w:t>
      </w:r>
    </w:p>
    <w:bookmarkStart w:id="22" w:name="what-would-be-bullish"/>
    <w:p>
      <w:pPr>
        <w:pStyle w:val="Heading3"/>
      </w:pPr>
      <w:r>
        <w:t xml:space="preserve">What would be bullish</w:t>
      </w:r>
    </w:p>
    <w:p>
      <w:pPr>
        <w:pStyle w:val="Compact"/>
        <w:numPr>
          <w:ilvl w:val="0"/>
          <w:numId w:val="1004"/>
        </w:numPr>
      </w:pPr>
      <w:r>
        <w:t xml:space="preserve">Another sizable positive long-term-flow quarter, with contributions from multiple asset classes and regions;</w:t>
      </w:r>
    </w:p>
    <w:p>
      <w:pPr>
        <w:pStyle w:val="Compact"/>
        <w:numPr>
          <w:ilvl w:val="0"/>
          <w:numId w:val="1004"/>
        </w:numPr>
      </w:pPr>
      <w:r>
        <w:t xml:space="preserve">Alternatives fundraising tracking above the prior</w:t>
      </w:r>
      <w:r>
        <w:t xml:space="preserve"> </w:t>
      </w:r>
      <w:r>
        <w:rPr>
          <w:b/>
          <w:bCs/>
        </w:rPr>
        <w:t xml:space="preserve">$25–30B</w:t>
      </w:r>
      <w:r>
        <w:t xml:space="preserve"> </w:t>
      </w:r>
      <w:r>
        <w:t xml:space="preserve">annual target;</w:t>
      </w:r>
    </w:p>
    <w:p>
      <w:pPr>
        <w:pStyle w:val="Compact"/>
        <w:numPr>
          <w:ilvl w:val="0"/>
          <w:numId w:val="1004"/>
        </w:numPr>
      </w:pPr>
      <w:r>
        <w:t xml:space="preserve">Continued Canvas, active ETF, and retail SMA growth;</w:t>
      </w:r>
    </w:p>
    <w:p>
      <w:pPr>
        <w:pStyle w:val="Compact"/>
        <w:numPr>
          <w:ilvl w:val="0"/>
          <w:numId w:val="1004"/>
        </w:numPr>
      </w:pPr>
      <w:r>
        <w:t xml:space="preserve">Stable-to-improving fee rate and adjusted margin;</w:t>
      </w:r>
    </w:p>
    <w:p>
      <w:pPr>
        <w:pStyle w:val="Compact"/>
        <w:numPr>
          <w:ilvl w:val="0"/>
          <w:numId w:val="1004"/>
        </w:numPr>
      </w:pPr>
      <w:r>
        <w:t xml:space="preserve">Clear confirmation that fiscal 4Q margin can reach the high-29% range.</w:t>
      </w:r>
    </w:p>
    <w:bookmarkEnd w:id="22"/>
    <w:bookmarkStart w:id="23" w:name="what-would-be-disappointing"/>
    <w:p>
      <w:pPr>
        <w:pStyle w:val="Heading3"/>
      </w:pPr>
      <w:r>
        <w:t xml:space="preserve">What would be disappointing</w:t>
      </w:r>
    </w:p>
    <w:p>
      <w:pPr>
        <w:pStyle w:val="Compact"/>
        <w:numPr>
          <w:ilvl w:val="0"/>
          <w:numId w:val="1005"/>
        </w:numPr>
      </w:pPr>
      <w:r>
        <w:t xml:space="preserve">A return to companywide net outflows, especially if alternatives or multi-asset weaken;</w:t>
      </w:r>
    </w:p>
    <w:p>
      <w:pPr>
        <w:pStyle w:val="Compact"/>
        <w:numPr>
          <w:ilvl w:val="0"/>
          <w:numId w:val="1005"/>
        </w:numPr>
      </w:pPr>
      <w:r>
        <w:t xml:space="preserve">Material WAM-related redemptions, legal costs, or regulatory developments;</w:t>
      </w:r>
    </w:p>
    <w:p>
      <w:pPr>
        <w:pStyle w:val="Compact"/>
        <w:numPr>
          <w:ilvl w:val="0"/>
          <w:numId w:val="1005"/>
        </w:numPr>
      </w:pPr>
      <w:r>
        <w:t xml:space="preserve">Margin slippage from compensation, fundraising, technology, or marketing expense;</w:t>
      </w:r>
    </w:p>
    <w:p>
      <w:pPr>
        <w:pStyle w:val="Compact"/>
        <w:numPr>
          <w:ilvl w:val="0"/>
          <w:numId w:val="1005"/>
        </w:numPr>
      </w:pPr>
      <w:r>
        <w:t xml:space="preserve">Weakness in higher-fee revenue mix despite market-driven AUM gains.</w:t>
      </w:r>
    </w:p>
    <w:bookmarkEnd w:id="23"/>
    <w:bookmarkStart w:id="24" w:name="research-used"/>
    <w:p>
      <w:pPr>
        <w:pStyle w:val="Heading3"/>
      </w:pPr>
      <w:r>
        <w:t xml:space="preserve">Research used</w:t>
      </w:r>
    </w:p>
    <w:p>
      <w:pPr>
        <w:pStyle w:val="Compact"/>
        <w:numPr>
          <w:ilvl w:val="0"/>
          <w:numId w:val="1006"/>
        </w:numPr>
      </w:pPr>
      <w:r>
        <w:t xml:space="preserve">Franklin Resources fiscal 2Q26 earnings release and earnings-call transcript, April 28, 2026</w:t>
      </w:r>
    </w:p>
    <w:p>
      <w:pPr>
        <w:pStyle w:val="Compact"/>
        <w:numPr>
          <w:ilvl w:val="0"/>
          <w:numId w:val="1006"/>
        </w:numPr>
      </w:pPr>
      <w:r>
        <w:t xml:space="preserve">Franklin Resources fiscal 2Q26 Form 10-Q, filed April 28, 2026</w:t>
      </w:r>
    </w:p>
    <w:p>
      <w:pPr>
        <w:pStyle w:val="Compact"/>
        <w:numPr>
          <w:ilvl w:val="0"/>
          <w:numId w:val="1006"/>
        </w:numPr>
      </w:pPr>
      <w:r>
        <w:t xml:space="preserve">Franklin Resources Form 8-K on executive retention awards, July 23, 2026</w:t>
      </w:r>
    </w:p>
    <w:p>
      <w:pPr>
        <w:pStyle w:val="Compact"/>
        <w:numPr>
          <w:ilvl w:val="0"/>
          <w:numId w:val="1006"/>
        </w:numPr>
      </w:pPr>
      <w:r>
        <w:t xml:space="preserve">BEN and SPY historical price data through July 30, 2026</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2026-07-31T00:28:09Z</dcterms:created>
  <dcterms:modified xsi:type="dcterms:W3CDTF">2026-07-31T00:28:09Z</dcterms:modified>
</cp:coreProperties>
</file>

<file path=docProps/custom.xml><?xml version="1.0" encoding="utf-8"?>
<Properties xmlns="http://schemas.openxmlformats.org/officeDocument/2006/custom-properties" xmlns:vt="http://schemas.openxmlformats.org/officeDocument/2006/docPropsVTypes"/>
</file>